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82"/>
        <w:gridCol w:w="4212"/>
      </w:tblGrid>
      <w:tr w:rsidR="00341B6B" w:rsidTr="00341B6B">
        <w:tc>
          <w:tcPr>
            <w:tcW w:w="11482" w:type="dxa"/>
          </w:tcPr>
          <w:p w:rsidR="00341B6B" w:rsidRDefault="00341B6B">
            <w:r w:rsidRPr="00F61348">
              <w:rPr>
                <w:b/>
                <w:sz w:val="32"/>
                <w:u w:val="single"/>
              </w:rPr>
              <w:t>Capital Programme Monitoring</w:t>
            </w:r>
            <w:r>
              <w:rPr>
                <w:b/>
                <w:sz w:val="32"/>
                <w:u w:val="single"/>
              </w:rPr>
              <w:t xml:space="preserve"> 2018-19 Quarter 2</w:t>
            </w:r>
          </w:p>
        </w:tc>
        <w:tc>
          <w:tcPr>
            <w:tcW w:w="4212" w:type="dxa"/>
          </w:tcPr>
          <w:p w:rsidR="00341B6B" w:rsidRDefault="00341B6B" w:rsidP="00341B6B">
            <w:pPr>
              <w:jc w:val="right"/>
            </w:pPr>
            <w:r w:rsidRPr="00F61264">
              <w:rPr>
                <w:b/>
                <w:sz w:val="32"/>
              </w:rPr>
              <w:t>Appendix A</w:t>
            </w:r>
          </w:p>
        </w:tc>
      </w:tr>
    </w:tbl>
    <w:p w:rsidR="00341B6B" w:rsidRDefault="00341B6B"/>
    <w:tbl>
      <w:tblPr>
        <w:tblStyle w:val="TableGrid"/>
        <w:tblW w:w="1570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57" w:type="dxa"/>
          <w:right w:w="57" w:type="dxa"/>
        </w:tblCellMar>
        <w:tblLook w:val="04A0" w:firstRow="1" w:lastRow="0" w:firstColumn="1" w:lastColumn="0" w:noHBand="0" w:noVBand="1"/>
      </w:tblPr>
      <w:tblGrid>
        <w:gridCol w:w="2830"/>
        <w:gridCol w:w="1247"/>
        <w:gridCol w:w="1247"/>
        <w:gridCol w:w="1247"/>
        <w:gridCol w:w="1247"/>
        <w:gridCol w:w="1247"/>
        <w:gridCol w:w="6634"/>
        <w:gridCol w:w="7"/>
      </w:tblGrid>
      <w:tr w:rsidR="002210F5" w:rsidTr="00D3673D">
        <w:trPr>
          <w:gridAfter w:val="1"/>
          <w:wAfter w:w="7" w:type="dxa"/>
          <w:cantSplit/>
          <w:tblHeader/>
        </w:trPr>
        <w:tc>
          <w:tcPr>
            <w:tcW w:w="2830" w:type="dxa"/>
            <w:tcBorders>
              <w:top w:val="single" w:sz="4" w:space="0" w:color="auto"/>
              <w:left w:val="single" w:sz="4" w:space="0" w:color="auto"/>
              <w:bottom w:val="single" w:sz="4" w:space="0" w:color="auto"/>
              <w:right w:val="single" w:sz="4" w:space="0" w:color="auto"/>
            </w:tcBorders>
            <w:shd w:val="clear" w:color="auto" w:fill="BDD6EE" w:themeFill="accent1" w:themeFillTint="66"/>
            <w:tcMar>
              <w:right w:w="57" w:type="dxa"/>
            </w:tcMar>
            <w:vAlign w:val="center"/>
          </w:tcPr>
          <w:p w:rsidR="002210F5" w:rsidRDefault="002210F5" w:rsidP="002210F5">
            <w:r>
              <w:t>Scheme</w:t>
            </w:r>
          </w:p>
        </w:tc>
        <w:tc>
          <w:tcPr>
            <w:tcW w:w="1247" w:type="dxa"/>
            <w:tcBorders>
              <w:top w:val="single" w:sz="4" w:space="0" w:color="auto"/>
              <w:left w:val="single" w:sz="4" w:space="0" w:color="auto"/>
              <w:bottom w:val="single" w:sz="4" w:space="0" w:color="auto"/>
              <w:right w:val="single" w:sz="4" w:space="0" w:color="auto"/>
            </w:tcBorders>
            <w:shd w:val="clear" w:color="auto" w:fill="BDD6EE" w:themeFill="accent1" w:themeFillTint="66"/>
            <w:tcMar>
              <w:right w:w="113" w:type="dxa"/>
            </w:tcMar>
            <w:vAlign w:val="center"/>
          </w:tcPr>
          <w:p w:rsidR="002210F5" w:rsidRDefault="002210F5" w:rsidP="002210F5">
            <w:pPr>
              <w:jc w:val="center"/>
            </w:pPr>
            <w:r>
              <w:t>Budget</w:t>
            </w:r>
          </w:p>
        </w:tc>
        <w:tc>
          <w:tcPr>
            <w:tcW w:w="1247" w:type="dxa"/>
            <w:tcBorders>
              <w:top w:val="single" w:sz="4" w:space="0" w:color="auto"/>
              <w:left w:val="single" w:sz="4" w:space="0" w:color="auto"/>
              <w:bottom w:val="single" w:sz="4" w:space="0" w:color="auto"/>
              <w:right w:val="single" w:sz="4" w:space="0" w:color="auto"/>
            </w:tcBorders>
            <w:shd w:val="clear" w:color="auto" w:fill="BDD6EE" w:themeFill="accent1" w:themeFillTint="66"/>
            <w:tcMar>
              <w:right w:w="113" w:type="dxa"/>
            </w:tcMar>
            <w:vAlign w:val="center"/>
          </w:tcPr>
          <w:p w:rsidR="002210F5" w:rsidRDefault="002210F5" w:rsidP="002210F5">
            <w:pPr>
              <w:jc w:val="center"/>
            </w:pPr>
            <w:r>
              <w:t>Total Committed Spend</w:t>
            </w:r>
          </w:p>
        </w:tc>
        <w:tc>
          <w:tcPr>
            <w:tcW w:w="1247" w:type="dxa"/>
            <w:tcBorders>
              <w:top w:val="single" w:sz="4" w:space="0" w:color="auto"/>
              <w:left w:val="single" w:sz="4" w:space="0" w:color="auto"/>
              <w:bottom w:val="single" w:sz="4" w:space="0" w:color="auto"/>
              <w:right w:val="single" w:sz="4" w:space="0" w:color="auto"/>
            </w:tcBorders>
            <w:shd w:val="clear" w:color="auto" w:fill="BDD6EE" w:themeFill="accent1" w:themeFillTint="66"/>
            <w:tcMar>
              <w:right w:w="113" w:type="dxa"/>
            </w:tcMar>
            <w:vAlign w:val="center"/>
          </w:tcPr>
          <w:p w:rsidR="002210F5" w:rsidRDefault="002210F5" w:rsidP="002210F5">
            <w:pPr>
              <w:jc w:val="center"/>
            </w:pPr>
            <w:r>
              <w:t>Forecast</w:t>
            </w:r>
          </w:p>
          <w:p w:rsidR="002210F5" w:rsidRDefault="002210F5" w:rsidP="002210F5">
            <w:pPr>
              <w:jc w:val="center"/>
            </w:pPr>
            <w:r>
              <w:t>Out-turn 2018-19</w:t>
            </w:r>
          </w:p>
        </w:tc>
        <w:tc>
          <w:tcPr>
            <w:tcW w:w="1247" w:type="dxa"/>
            <w:tcBorders>
              <w:top w:val="single" w:sz="4" w:space="0" w:color="auto"/>
              <w:left w:val="single" w:sz="4" w:space="0" w:color="auto"/>
              <w:bottom w:val="single" w:sz="4" w:space="0" w:color="auto"/>
              <w:right w:val="single" w:sz="4" w:space="0" w:color="auto"/>
            </w:tcBorders>
            <w:shd w:val="clear" w:color="auto" w:fill="BDD6EE" w:themeFill="accent1" w:themeFillTint="66"/>
            <w:tcMar>
              <w:right w:w="113" w:type="dxa"/>
            </w:tcMar>
            <w:vAlign w:val="center"/>
          </w:tcPr>
          <w:p w:rsidR="002210F5" w:rsidRDefault="00E203BC" w:rsidP="002210F5">
            <w:pPr>
              <w:jc w:val="center"/>
            </w:pPr>
            <w:r>
              <w:t>Re-phasing</w:t>
            </w:r>
            <w:r w:rsidR="00621C35">
              <w:t xml:space="preserve"> (to) / from 2019-20</w:t>
            </w:r>
          </w:p>
        </w:tc>
        <w:tc>
          <w:tcPr>
            <w:tcW w:w="1247" w:type="dxa"/>
            <w:tcBorders>
              <w:top w:val="single" w:sz="4" w:space="0" w:color="auto"/>
              <w:left w:val="single" w:sz="4" w:space="0" w:color="auto"/>
              <w:bottom w:val="single" w:sz="4" w:space="0" w:color="auto"/>
              <w:right w:val="single" w:sz="4" w:space="0" w:color="auto"/>
            </w:tcBorders>
            <w:shd w:val="clear" w:color="auto" w:fill="BDD6EE" w:themeFill="accent1" w:themeFillTint="66"/>
            <w:tcMar>
              <w:right w:w="113" w:type="dxa"/>
            </w:tcMar>
            <w:vAlign w:val="center"/>
          </w:tcPr>
          <w:p w:rsidR="002210F5" w:rsidRDefault="002210F5" w:rsidP="00621C35">
            <w:pPr>
              <w:jc w:val="center"/>
            </w:pPr>
            <w:r>
              <w:t xml:space="preserve">Over / </w:t>
            </w:r>
            <w:r w:rsidR="002F5E04">
              <w:t>(</w:t>
            </w:r>
            <w:r>
              <w:t>Under</w:t>
            </w:r>
            <w:r w:rsidR="002F5E04">
              <w:t>)</w:t>
            </w:r>
            <w:r>
              <w:t>-spend</w:t>
            </w:r>
          </w:p>
        </w:tc>
        <w:tc>
          <w:tcPr>
            <w:tcW w:w="6634" w:type="dxa"/>
            <w:tcBorders>
              <w:top w:val="single" w:sz="4" w:space="0" w:color="auto"/>
              <w:left w:val="single" w:sz="4" w:space="0" w:color="auto"/>
              <w:bottom w:val="single" w:sz="4" w:space="0" w:color="auto"/>
              <w:right w:val="single" w:sz="4" w:space="0" w:color="auto"/>
            </w:tcBorders>
            <w:shd w:val="clear" w:color="auto" w:fill="BDD6EE" w:themeFill="accent1" w:themeFillTint="66"/>
            <w:tcMar>
              <w:right w:w="57" w:type="dxa"/>
            </w:tcMar>
            <w:vAlign w:val="center"/>
          </w:tcPr>
          <w:p w:rsidR="002210F5" w:rsidRDefault="002210F5" w:rsidP="002210F5">
            <w:r>
              <w:t>Comments</w:t>
            </w:r>
          </w:p>
        </w:tc>
      </w:tr>
      <w:tr w:rsidR="002210F5" w:rsidTr="00D3673D">
        <w:trPr>
          <w:gridAfter w:val="1"/>
          <w:wAfter w:w="7" w:type="dxa"/>
          <w:cantSplit/>
        </w:trPr>
        <w:tc>
          <w:tcPr>
            <w:tcW w:w="2830" w:type="dxa"/>
            <w:tcBorders>
              <w:top w:val="single" w:sz="4" w:space="0" w:color="auto"/>
              <w:bottom w:val="single" w:sz="4" w:space="0" w:color="BFBFBF" w:themeColor="background1" w:themeShade="BF"/>
              <w:right w:val="nil"/>
            </w:tcBorders>
            <w:tcMar>
              <w:right w:w="57" w:type="dxa"/>
            </w:tcMar>
            <w:vAlign w:val="center"/>
          </w:tcPr>
          <w:p w:rsidR="002210F5" w:rsidRPr="00226377" w:rsidRDefault="002210F5" w:rsidP="002210F5"/>
        </w:tc>
        <w:tc>
          <w:tcPr>
            <w:tcW w:w="1247" w:type="dxa"/>
            <w:tcBorders>
              <w:top w:val="single" w:sz="4" w:space="0" w:color="auto"/>
              <w:left w:val="nil"/>
              <w:bottom w:val="single" w:sz="4" w:space="0" w:color="BFBFBF" w:themeColor="background1" w:themeShade="BF"/>
              <w:right w:val="nil"/>
            </w:tcBorders>
            <w:tcMar>
              <w:right w:w="113" w:type="dxa"/>
            </w:tcMar>
            <w:vAlign w:val="center"/>
          </w:tcPr>
          <w:p w:rsidR="002210F5" w:rsidRDefault="002210F5" w:rsidP="002210F5">
            <w:pPr>
              <w:jc w:val="right"/>
            </w:pPr>
          </w:p>
        </w:tc>
        <w:tc>
          <w:tcPr>
            <w:tcW w:w="1247" w:type="dxa"/>
            <w:tcBorders>
              <w:top w:val="single" w:sz="4" w:space="0" w:color="auto"/>
              <w:left w:val="nil"/>
              <w:bottom w:val="single" w:sz="4" w:space="0" w:color="BFBFBF" w:themeColor="background1" w:themeShade="BF"/>
              <w:right w:val="nil"/>
            </w:tcBorders>
            <w:tcMar>
              <w:right w:w="113" w:type="dxa"/>
            </w:tcMar>
            <w:vAlign w:val="center"/>
          </w:tcPr>
          <w:p w:rsidR="002210F5" w:rsidRDefault="002210F5" w:rsidP="002210F5">
            <w:pPr>
              <w:jc w:val="right"/>
            </w:pPr>
          </w:p>
        </w:tc>
        <w:tc>
          <w:tcPr>
            <w:tcW w:w="1247" w:type="dxa"/>
            <w:tcBorders>
              <w:top w:val="single" w:sz="4" w:space="0" w:color="auto"/>
              <w:left w:val="nil"/>
              <w:bottom w:val="single" w:sz="4" w:space="0" w:color="BFBFBF" w:themeColor="background1" w:themeShade="BF"/>
              <w:right w:val="nil"/>
            </w:tcBorders>
            <w:tcMar>
              <w:right w:w="113" w:type="dxa"/>
            </w:tcMar>
            <w:vAlign w:val="center"/>
          </w:tcPr>
          <w:p w:rsidR="002210F5" w:rsidRDefault="002210F5" w:rsidP="002210F5">
            <w:pPr>
              <w:jc w:val="right"/>
            </w:pPr>
          </w:p>
        </w:tc>
        <w:tc>
          <w:tcPr>
            <w:tcW w:w="1247" w:type="dxa"/>
            <w:tcBorders>
              <w:top w:val="single" w:sz="4" w:space="0" w:color="auto"/>
              <w:left w:val="nil"/>
              <w:bottom w:val="single" w:sz="4" w:space="0" w:color="BFBFBF" w:themeColor="background1" w:themeShade="BF"/>
              <w:right w:val="nil"/>
            </w:tcBorders>
            <w:tcMar>
              <w:right w:w="113" w:type="dxa"/>
            </w:tcMar>
            <w:vAlign w:val="center"/>
          </w:tcPr>
          <w:p w:rsidR="002210F5" w:rsidRDefault="002210F5" w:rsidP="002210F5">
            <w:pPr>
              <w:jc w:val="right"/>
            </w:pPr>
          </w:p>
        </w:tc>
        <w:tc>
          <w:tcPr>
            <w:tcW w:w="1247" w:type="dxa"/>
            <w:tcBorders>
              <w:top w:val="single" w:sz="4" w:space="0" w:color="auto"/>
              <w:left w:val="nil"/>
              <w:bottom w:val="single" w:sz="4" w:space="0" w:color="BFBFBF" w:themeColor="background1" w:themeShade="BF"/>
              <w:right w:val="nil"/>
            </w:tcBorders>
            <w:tcMar>
              <w:right w:w="113" w:type="dxa"/>
            </w:tcMar>
            <w:vAlign w:val="center"/>
          </w:tcPr>
          <w:p w:rsidR="002210F5" w:rsidRDefault="002210F5" w:rsidP="002210F5">
            <w:pPr>
              <w:jc w:val="right"/>
            </w:pPr>
          </w:p>
        </w:tc>
        <w:tc>
          <w:tcPr>
            <w:tcW w:w="6634" w:type="dxa"/>
            <w:tcBorders>
              <w:top w:val="single" w:sz="4" w:space="0" w:color="auto"/>
              <w:left w:val="nil"/>
              <w:bottom w:val="single" w:sz="4" w:space="0" w:color="BFBFBF" w:themeColor="background1" w:themeShade="BF"/>
            </w:tcBorders>
            <w:tcMar>
              <w:right w:w="57" w:type="dxa"/>
            </w:tcMar>
            <w:vAlign w:val="center"/>
          </w:tcPr>
          <w:p w:rsidR="002210F5" w:rsidRDefault="002210F5" w:rsidP="002210F5"/>
        </w:tc>
      </w:tr>
      <w:tr w:rsidR="002210F5" w:rsidTr="00D3673D">
        <w:trPr>
          <w:gridAfter w:val="1"/>
          <w:wAfter w:w="7" w:type="dxa"/>
          <w:cantSplit/>
        </w:trPr>
        <w:tc>
          <w:tcPr>
            <w:tcW w:w="2830" w:type="dxa"/>
            <w:tcBorders>
              <w:top w:val="single" w:sz="4" w:space="0" w:color="BFBFBF" w:themeColor="background1" w:themeShade="BF"/>
              <w:bottom w:val="single" w:sz="4" w:space="0" w:color="BFBFBF" w:themeColor="background1" w:themeShade="BF"/>
            </w:tcBorders>
            <w:tcMar>
              <w:right w:w="57" w:type="dxa"/>
            </w:tcMar>
            <w:vAlign w:val="center"/>
          </w:tcPr>
          <w:p w:rsidR="002210F5" w:rsidRDefault="002210F5" w:rsidP="002210F5">
            <w:r w:rsidRPr="00226377">
              <w:t>Project Management</w:t>
            </w:r>
          </w:p>
        </w:tc>
        <w:tc>
          <w:tcPr>
            <w:tcW w:w="1247" w:type="dxa"/>
            <w:tcBorders>
              <w:top w:val="single" w:sz="4" w:space="0" w:color="BFBFBF" w:themeColor="background1" w:themeShade="BF"/>
              <w:bottom w:val="single" w:sz="4" w:space="0" w:color="BFBFBF" w:themeColor="background1" w:themeShade="BF"/>
            </w:tcBorders>
            <w:tcMar>
              <w:right w:w="113" w:type="dxa"/>
            </w:tcMar>
            <w:vAlign w:val="center"/>
          </w:tcPr>
          <w:p w:rsidR="002210F5" w:rsidRDefault="002210F5" w:rsidP="002210F5">
            <w:pPr>
              <w:jc w:val="right"/>
            </w:pPr>
            <w:r>
              <w:t>50,000</w:t>
            </w:r>
          </w:p>
        </w:tc>
        <w:tc>
          <w:tcPr>
            <w:tcW w:w="1247" w:type="dxa"/>
            <w:tcBorders>
              <w:top w:val="single" w:sz="4" w:space="0" w:color="BFBFBF" w:themeColor="background1" w:themeShade="BF"/>
              <w:bottom w:val="single" w:sz="4" w:space="0" w:color="BFBFBF" w:themeColor="background1" w:themeShade="BF"/>
            </w:tcBorders>
            <w:tcMar>
              <w:right w:w="113" w:type="dxa"/>
            </w:tcMar>
            <w:vAlign w:val="center"/>
          </w:tcPr>
          <w:p w:rsidR="002210F5" w:rsidRDefault="002210F5" w:rsidP="002210F5">
            <w:pPr>
              <w:jc w:val="right"/>
            </w:pPr>
            <w:r>
              <w:t>50,000</w:t>
            </w:r>
          </w:p>
        </w:tc>
        <w:tc>
          <w:tcPr>
            <w:tcW w:w="1247" w:type="dxa"/>
            <w:tcBorders>
              <w:top w:val="single" w:sz="4" w:space="0" w:color="BFBFBF" w:themeColor="background1" w:themeShade="BF"/>
              <w:bottom w:val="single" w:sz="4" w:space="0" w:color="BFBFBF" w:themeColor="background1" w:themeShade="BF"/>
            </w:tcBorders>
            <w:tcMar>
              <w:right w:w="113" w:type="dxa"/>
            </w:tcMar>
            <w:vAlign w:val="center"/>
          </w:tcPr>
          <w:p w:rsidR="002210F5" w:rsidRDefault="002210F5" w:rsidP="002210F5">
            <w:pPr>
              <w:jc w:val="right"/>
            </w:pPr>
            <w:r>
              <w:t>50,000</w:t>
            </w:r>
          </w:p>
        </w:tc>
        <w:tc>
          <w:tcPr>
            <w:tcW w:w="1247" w:type="dxa"/>
            <w:tcBorders>
              <w:top w:val="single" w:sz="4" w:space="0" w:color="BFBFBF" w:themeColor="background1" w:themeShade="BF"/>
              <w:bottom w:val="single" w:sz="4" w:space="0" w:color="BFBFBF" w:themeColor="background1" w:themeShade="BF"/>
            </w:tcBorders>
            <w:tcMar>
              <w:right w:w="113" w:type="dxa"/>
            </w:tcMar>
            <w:vAlign w:val="center"/>
          </w:tcPr>
          <w:p w:rsidR="002210F5" w:rsidRDefault="002210F5" w:rsidP="002210F5">
            <w:pPr>
              <w:jc w:val="right"/>
            </w:pPr>
            <w:r>
              <w:t>-</w:t>
            </w:r>
          </w:p>
        </w:tc>
        <w:tc>
          <w:tcPr>
            <w:tcW w:w="1247" w:type="dxa"/>
            <w:tcBorders>
              <w:top w:val="single" w:sz="4" w:space="0" w:color="BFBFBF" w:themeColor="background1" w:themeShade="BF"/>
              <w:bottom w:val="single" w:sz="4" w:space="0" w:color="BFBFBF" w:themeColor="background1" w:themeShade="BF"/>
            </w:tcBorders>
            <w:tcMar>
              <w:right w:w="113" w:type="dxa"/>
            </w:tcMar>
            <w:vAlign w:val="center"/>
          </w:tcPr>
          <w:p w:rsidR="002210F5" w:rsidRDefault="002210F5" w:rsidP="002210F5">
            <w:pPr>
              <w:jc w:val="right"/>
            </w:pPr>
            <w:r>
              <w:t>-</w:t>
            </w:r>
          </w:p>
        </w:tc>
        <w:tc>
          <w:tcPr>
            <w:tcW w:w="6634" w:type="dxa"/>
            <w:tcBorders>
              <w:top w:val="single" w:sz="4" w:space="0" w:color="BFBFBF" w:themeColor="background1" w:themeShade="BF"/>
              <w:bottom w:val="single" w:sz="4" w:space="0" w:color="BFBFBF" w:themeColor="background1" w:themeShade="BF"/>
            </w:tcBorders>
            <w:tcMar>
              <w:right w:w="57" w:type="dxa"/>
            </w:tcMar>
            <w:vAlign w:val="center"/>
          </w:tcPr>
          <w:p w:rsidR="002210F5" w:rsidRDefault="002210F5" w:rsidP="002210F5">
            <w:r w:rsidRPr="0055134B">
              <w:t>This is a revenue budget but it relates to the delivery of capital projects.</w:t>
            </w:r>
          </w:p>
        </w:tc>
      </w:tr>
      <w:tr w:rsidR="002210F5" w:rsidRPr="00252766" w:rsidTr="00D3673D">
        <w:trPr>
          <w:cantSplit/>
        </w:trPr>
        <w:tc>
          <w:tcPr>
            <w:tcW w:w="15706" w:type="dxa"/>
            <w:gridSpan w:val="8"/>
            <w:tcBorders>
              <w:top w:val="single" w:sz="4" w:space="0" w:color="BFBFBF" w:themeColor="background1" w:themeShade="BF"/>
              <w:bottom w:val="nil"/>
            </w:tcBorders>
            <w:tcMar>
              <w:right w:w="113" w:type="dxa"/>
            </w:tcMar>
            <w:vAlign w:val="center"/>
          </w:tcPr>
          <w:p w:rsidR="002210F5" w:rsidRPr="00252766" w:rsidRDefault="002210F5" w:rsidP="001169A8">
            <w:pPr>
              <w:rPr>
                <w:u w:val="single"/>
              </w:rPr>
            </w:pPr>
          </w:p>
          <w:p w:rsidR="002210F5" w:rsidRPr="00252766" w:rsidRDefault="002210F5" w:rsidP="001169A8">
            <w:pPr>
              <w:pStyle w:val="Heading1"/>
              <w:outlineLvl w:val="0"/>
            </w:pPr>
            <w:r w:rsidRPr="00DC23DF">
              <w:t>Health, Leisure &amp; Wellbeing</w:t>
            </w:r>
          </w:p>
        </w:tc>
      </w:tr>
      <w:tr w:rsidR="002210F5" w:rsidTr="00D3673D">
        <w:trPr>
          <w:gridAfter w:val="1"/>
          <w:wAfter w:w="7" w:type="dxa"/>
          <w:cantSplit/>
        </w:trPr>
        <w:tc>
          <w:tcPr>
            <w:tcW w:w="2830" w:type="dxa"/>
            <w:tcBorders>
              <w:top w:val="nil"/>
              <w:right w:val="nil"/>
            </w:tcBorders>
            <w:tcMar>
              <w:right w:w="57" w:type="dxa"/>
            </w:tcMar>
            <w:vAlign w:val="center"/>
          </w:tcPr>
          <w:p w:rsidR="002210F5" w:rsidRPr="00DC23DF" w:rsidRDefault="002210F5" w:rsidP="002210F5">
            <w:pPr>
              <w:pStyle w:val="Heading2"/>
              <w:outlineLvl w:val="1"/>
            </w:pPr>
            <w:r w:rsidRPr="00DC23DF">
              <w:t>Green Infrastructure</w:t>
            </w:r>
          </w:p>
        </w:tc>
        <w:tc>
          <w:tcPr>
            <w:tcW w:w="1247" w:type="dxa"/>
            <w:tcBorders>
              <w:top w:val="nil"/>
              <w:left w:val="nil"/>
              <w:right w:val="nil"/>
            </w:tcBorders>
            <w:tcMar>
              <w:right w:w="113" w:type="dxa"/>
            </w:tcMar>
            <w:vAlign w:val="center"/>
          </w:tcPr>
          <w:p w:rsidR="002210F5" w:rsidRDefault="002210F5" w:rsidP="002210F5">
            <w:pPr>
              <w:jc w:val="right"/>
            </w:pPr>
          </w:p>
        </w:tc>
        <w:tc>
          <w:tcPr>
            <w:tcW w:w="1247" w:type="dxa"/>
            <w:tcBorders>
              <w:top w:val="nil"/>
              <w:left w:val="nil"/>
              <w:right w:val="nil"/>
            </w:tcBorders>
            <w:tcMar>
              <w:right w:w="113" w:type="dxa"/>
            </w:tcMar>
            <w:vAlign w:val="center"/>
          </w:tcPr>
          <w:p w:rsidR="002210F5" w:rsidRDefault="002210F5" w:rsidP="002210F5">
            <w:pPr>
              <w:jc w:val="right"/>
            </w:pPr>
          </w:p>
        </w:tc>
        <w:tc>
          <w:tcPr>
            <w:tcW w:w="1247" w:type="dxa"/>
            <w:tcBorders>
              <w:top w:val="nil"/>
              <w:left w:val="nil"/>
              <w:right w:val="nil"/>
            </w:tcBorders>
            <w:tcMar>
              <w:right w:w="113" w:type="dxa"/>
            </w:tcMar>
            <w:vAlign w:val="center"/>
          </w:tcPr>
          <w:p w:rsidR="002210F5" w:rsidRDefault="002210F5" w:rsidP="002210F5">
            <w:pPr>
              <w:jc w:val="right"/>
            </w:pPr>
          </w:p>
        </w:tc>
        <w:tc>
          <w:tcPr>
            <w:tcW w:w="1247" w:type="dxa"/>
            <w:tcBorders>
              <w:top w:val="nil"/>
              <w:left w:val="nil"/>
              <w:right w:val="nil"/>
            </w:tcBorders>
            <w:tcMar>
              <w:right w:w="113" w:type="dxa"/>
            </w:tcMar>
            <w:vAlign w:val="center"/>
          </w:tcPr>
          <w:p w:rsidR="002210F5" w:rsidRDefault="002210F5" w:rsidP="002210F5">
            <w:pPr>
              <w:jc w:val="right"/>
            </w:pPr>
          </w:p>
        </w:tc>
        <w:tc>
          <w:tcPr>
            <w:tcW w:w="1247" w:type="dxa"/>
            <w:tcBorders>
              <w:top w:val="nil"/>
              <w:left w:val="nil"/>
              <w:right w:val="nil"/>
            </w:tcBorders>
            <w:tcMar>
              <w:right w:w="113" w:type="dxa"/>
            </w:tcMar>
            <w:vAlign w:val="center"/>
          </w:tcPr>
          <w:p w:rsidR="002210F5" w:rsidRDefault="002210F5" w:rsidP="002210F5">
            <w:pPr>
              <w:jc w:val="right"/>
            </w:pPr>
          </w:p>
        </w:tc>
        <w:tc>
          <w:tcPr>
            <w:tcW w:w="6634" w:type="dxa"/>
            <w:tcBorders>
              <w:top w:val="nil"/>
              <w:left w:val="nil"/>
            </w:tcBorders>
            <w:tcMar>
              <w:right w:w="57" w:type="dxa"/>
            </w:tcMar>
            <w:vAlign w:val="center"/>
          </w:tcPr>
          <w:p w:rsidR="002210F5" w:rsidRDefault="002210F5" w:rsidP="002210F5"/>
        </w:tc>
      </w:tr>
      <w:tr w:rsidR="002210F5" w:rsidTr="00D3673D">
        <w:trPr>
          <w:gridAfter w:val="1"/>
          <w:wAfter w:w="7" w:type="dxa"/>
          <w:cantSplit/>
        </w:trPr>
        <w:tc>
          <w:tcPr>
            <w:tcW w:w="2830" w:type="dxa"/>
            <w:tcMar>
              <w:right w:w="57" w:type="dxa"/>
            </w:tcMar>
            <w:vAlign w:val="center"/>
          </w:tcPr>
          <w:p w:rsidR="002210F5" w:rsidRPr="00E741EF" w:rsidRDefault="002210F5" w:rsidP="002210F5">
            <w:r w:rsidRPr="00E741EF">
              <w:t>Green Link - Bamber Bridge LC to Tennis Centre</w:t>
            </w:r>
          </w:p>
        </w:tc>
        <w:tc>
          <w:tcPr>
            <w:tcW w:w="1247" w:type="dxa"/>
            <w:tcMar>
              <w:right w:w="113" w:type="dxa"/>
            </w:tcMar>
            <w:vAlign w:val="center"/>
          </w:tcPr>
          <w:p w:rsidR="002210F5" w:rsidRDefault="002210F5" w:rsidP="002210F5">
            <w:pPr>
              <w:jc w:val="right"/>
            </w:pPr>
            <w:r>
              <w:t>16,000</w:t>
            </w:r>
          </w:p>
        </w:tc>
        <w:tc>
          <w:tcPr>
            <w:tcW w:w="1247" w:type="dxa"/>
            <w:tcMar>
              <w:right w:w="113" w:type="dxa"/>
            </w:tcMar>
            <w:vAlign w:val="center"/>
          </w:tcPr>
          <w:p w:rsidR="002210F5" w:rsidRDefault="002210F5" w:rsidP="002210F5">
            <w:pPr>
              <w:jc w:val="right"/>
            </w:pPr>
            <w:r>
              <w:t>-</w:t>
            </w:r>
          </w:p>
        </w:tc>
        <w:tc>
          <w:tcPr>
            <w:tcW w:w="1247" w:type="dxa"/>
            <w:tcMar>
              <w:right w:w="113" w:type="dxa"/>
            </w:tcMar>
            <w:vAlign w:val="center"/>
          </w:tcPr>
          <w:p w:rsidR="002210F5" w:rsidRDefault="002210F5" w:rsidP="002210F5">
            <w:pPr>
              <w:jc w:val="right"/>
            </w:pPr>
            <w:r>
              <w:t>16,000</w:t>
            </w:r>
          </w:p>
        </w:tc>
        <w:tc>
          <w:tcPr>
            <w:tcW w:w="1247" w:type="dxa"/>
            <w:tcMar>
              <w:right w:w="113" w:type="dxa"/>
            </w:tcMar>
            <w:vAlign w:val="center"/>
          </w:tcPr>
          <w:p w:rsidR="002210F5" w:rsidRDefault="002210F5" w:rsidP="002210F5">
            <w:pPr>
              <w:jc w:val="right"/>
            </w:pPr>
            <w:r>
              <w:t>-</w:t>
            </w:r>
          </w:p>
        </w:tc>
        <w:tc>
          <w:tcPr>
            <w:tcW w:w="1247" w:type="dxa"/>
            <w:tcMar>
              <w:right w:w="113" w:type="dxa"/>
            </w:tcMar>
            <w:vAlign w:val="center"/>
          </w:tcPr>
          <w:p w:rsidR="002210F5" w:rsidRDefault="002210F5" w:rsidP="002210F5">
            <w:pPr>
              <w:jc w:val="right"/>
            </w:pPr>
            <w:r>
              <w:t>-</w:t>
            </w:r>
          </w:p>
        </w:tc>
        <w:tc>
          <w:tcPr>
            <w:tcW w:w="6634" w:type="dxa"/>
            <w:tcMar>
              <w:right w:w="57" w:type="dxa"/>
            </w:tcMar>
            <w:vAlign w:val="center"/>
          </w:tcPr>
          <w:p w:rsidR="002210F5" w:rsidRPr="00127FCD" w:rsidRDefault="002210F5" w:rsidP="002210F5">
            <w:r w:rsidRPr="00127FCD">
              <w:t>The project is programmed to start Q3</w:t>
            </w:r>
          </w:p>
        </w:tc>
      </w:tr>
      <w:tr w:rsidR="002210F5" w:rsidTr="00D3673D">
        <w:trPr>
          <w:gridAfter w:val="1"/>
          <w:wAfter w:w="7" w:type="dxa"/>
          <w:cantSplit/>
        </w:trPr>
        <w:tc>
          <w:tcPr>
            <w:tcW w:w="2830" w:type="dxa"/>
            <w:tcMar>
              <w:right w:w="57" w:type="dxa"/>
            </w:tcMar>
            <w:vAlign w:val="center"/>
          </w:tcPr>
          <w:p w:rsidR="002210F5" w:rsidRPr="00E741EF" w:rsidRDefault="002210F5" w:rsidP="002210F5">
            <w:r w:rsidRPr="00E741EF">
              <w:t>Green Link - Central Parks Network</w:t>
            </w:r>
          </w:p>
        </w:tc>
        <w:tc>
          <w:tcPr>
            <w:tcW w:w="1247" w:type="dxa"/>
            <w:tcMar>
              <w:right w:w="113" w:type="dxa"/>
            </w:tcMar>
            <w:vAlign w:val="center"/>
          </w:tcPr>
          <w:p w:rsidR="002210F5" w:rsidRDefault="002210F5" w:rsidP="002210F5">
            <w:pPr>
              <w:jc w:val="right"/>
            </w:pPr>
            <w:r>
              <w:t>126,000</w:t>
            </w:r>
          </w:p>
        </w:tc>
        <w:tc>
          <w:tcPr>
            <w:tcW w:w="1247" w:type="dxa"/>
            <w:tcMar>
              <w:right w:w="113" w:type="dxa"/>
            </w:tcMar>
            <w:vAlign w:val="center"/>
          </w:tcPr>
          <w:p w:rsidR="002210F5" w:rsidRDefault="002210F5" w:rsidP="002210F5">
            <w:pPr>
              <w:jc w:val="right"/>
            </w:pPr>
            <w:r>
              <w:t>4,306</w:t>
            </w:r>
          </w:p>
        </w:tc>
        <w:tc>
          <w:tcPr>
            <w:tcW w:w="1247" w:type="dxa"/>
            <w:tcMar>
              <w:right w:w="113" w:type="dxa"/>
            </w:tcMar>
            <w:vAlign w:val="center"/>
          </w:tcPr>
          <w:p w:rsidR="002210F5" w:rsidRDefault="002210F5" w:rsidP="002210F5">
            <w:pPr>
              <w:jc w:val="right"/>
            </w:pPr>
            <w:r>
              <w:t>126,000</w:t>
            </w:r>
          </w:p>
        </w:tc>
        <w:tc>
          <w:tcPr>
            <w:tcW w:w="1247" w:type="dxa"/>
            <w:tcMar>
              <w:right w:w="113" w:type="dxa"/>
            </w:tcMar>
            <w:vAlign w:val="center"/>
          </w:tcPr>
          <w:p w:rsidR="002210F5" w:rsidRDefault="002210F5" w:rsidP="002210F5">
            <w:pPr>
              <w:jc w:val="right"/>
            </w:pPr>
            <w:r>
              <w:t>-</w:t>
            </w:r>
          </w:p>
        </w:tc>
        <w:tc>
          <w:tcPr>
            <w:tcW w:w="1247" w:type="dxa"/>
            <w:tcMar>
              <w:right w:w="113" w:type="dxa"/>
            </w:tcMar>
            <w:vAlign w:val="center"/>
          </w:tcPr>
          <w:p w:rsidR="002210F5" w:rsidRDefault="002210F5" w:rsidP="002210F5">
            <w:pPr>
              <w:jc w:val="right"/>
            </w:pPr>
            <w:r>
              <w:t>-</w:t>
            </w:r>
          </w:p>
        </w:tc>
        <w:tc>
          <w:tcPr>
            <w:tcW w:w="6634" w:type="dxa"/>
            <w:tcMar>
              <w:right w:w="57" w:type="dxa"/>
            </w:tcMar>
            <w:vAlign w:val="center"/>
          </w:tcPr>
          <w:p w:rsidR="002210F5" w:rsidRPr="00127FCD" w:rsidRDefault="002210F5" w:rsidP="002210F5">
            <w:r w:rsidRPr="00127FCD">
              <w:t>The project is programmed to begin Q3 and be finished in Q4</w:t>
            </w:r>
          </w:p>
        </w:tc>
      </w:tr>
      <w:tr w:rsidR="002210F5" w:rsidTr="00D3673D">
        <w:trPr>
          <w:gridAfter w:val="1"/>
          <w:wAfter w:w="7" w:type="dxa"/>
          <w:cantSplit/>
        </w:trPr>
        <w:tc>
          <w:tcPr>
            <w:tcW w:w="2830" w:type="dxa"/>
            <w:tcMar>
              <w:right w:w="57" w:type="dxa"/>
            </w:tcMar>
            <w:vAlign w:val="center"/>
          </w:tcPr>
          <w:p w:rsidR="002210F5" w:rsidRPr="00E741EF" w:rsidRDefault="002210F5" w:rsidP="002210F5">
            <w:r w:rsidRPr="00E741EF">
              <w:t>Green Link - Penwortham to Bamber Bridge</w:t>
            </w:r>
          </w:p>
        </w:tc>
        <w:tc>
          <w:tcPr>
            <w:tcW w:w="1247" w:type="dxa"/>
            <w:tcMar>
              <w:right w:w="113" w:type="dxa"/>
            </w:tcMar>
            <w:vAlign w:val="center"/>
          </w:tcPr>
          <w:p w:rsidR="002210F5" w:rsidRDefault="002210F5" w:rsidP="002210F5">
            <w:pPr>
              <w:jc w:val="right"/>
            </w:pPr>
            <w:r>
              <w:t>97,000</w:t>
            </w:r>
          </w:p>
        </w:tc>
        <w:tc>
          <w:tcPr>
            <w:tcW w:w="1247" w:type="dxa"/>
            <w:tcMar>
              <w:right w:w="113" w:type="dxa"/>
            </w:tcMar>
            <w:vAlign w:val="center"/>
          </w:tcPr>
          <w:p w:rsidR="002210F5" w:rsidRDefault="002210F5" w:rsidP="002210F5">
            <w:pPr>
              <w:jc w:val="right"/>
            </w:pPr>
            <w:r>
              <w:t>-</w:t>
            </w:r>
          </w:p>
        </w:tc>
        <w:tc>
          <w:tcPr>
            <w:tcW w:w="1247" w:type="dxa"/>
            <w:tcMar>
              <w:right w:w="113" w:type="dxa"/>
            </w:tcMar>
            <w:vAlign w:val="center"/>
          </w:tcPr>
          <w:p w:rsidR="002210F5" w:rsidRDefault="002210F5" w:rsidP="002210F5">
            <w:pPr>
              <w:jc w:val="right"/>
            </w:pPr>
            <w:r>
              <w:t>97,000</w:t>
            </w:r>
          </w:p>
        </w:tc>
        <w:tc>
          <w:tcPr>
            <w:tcW w:w="1247" w:type="dxa"/>
            <w:tcMar>
              <w:right w:w="113" w:type="dxa"/>
            </w:tcMar>
            <w:vAlign w:val="center"/>
          </w:tcPr>
          <w:p w:rsidR="002210F5" w:rsidRDefault="002210F5" w:rsidP="002210F5">
            <w:pPr>
              <w:jc w:val="right"/>
            </w:pPr>
            <w:r>
              <w:t>-</w:t>
            </w:r>
          </w:p>
        </w:tc>
        <w:tc>
          <w:tcPr>
            <w:tcW w:w="1247" w:type="dxa"/>
            <w:tcMar>
              <w:right w:w="113" w:type="dxa"/>
            </w:tcMar>
            <w:vAlign w:val="center"/>
          </w:tcPr>
          <w:p w:rsidR="002210F5" w:rsidRDefault="002210F5" w:rsidP="002210F5">
            <w:pPr>
              <w:jc w:val="right"/>
            </w:pPr>
            <w:r>
              <w:t>-</w:t>
            </w:r>
          </w:p>
        </w:tc>
        <w:tc>
          <w:tcPr>
            <w:tcW w:w="6634" w:type="dxa"/>
            <w:tcMar>
              <w:right w:w="57" w:type="dxa"/>
            </w:tcMar>
            <w:vAlign w:val="center"/>
          </w:tcPr>
          <w:p w:rsidR="002210F5" w:rsidRPr="00127FCD" w:rsidRDefault="002210F5" w:rsidP="002210F5">
            <w:r w:rsidRPr="00127FCD">
              <w:t>The project is programmed to start Q3</w:t>
            </w:r>
          </w:p>
        </w:tc>
      </w:tr>
      <w:tr w:rsidR="002210F5" w:rsidTr="00D3673D">
        <w:trPr>
          <w:gridAfter w:val="1"/>
          <w:wAfter w:w="7" w:type="dxa"/>
          <w:cantSplit/>
        </w:trPr>
        <w:tc>
          <w:tcPr>
            <w:tcW w:w="2830" w:type="dxa"/>
            <w:tcMar>
              <w:right w:w="57" w:type="dxa"/>
            </w:tcMar>
            <w:vAlign w:val="center"/>
          </w:tcPr>
          <w:p w:rsidR="002210F5" w:rsidRPr="00E741EF" w:rsidRDefault="002210F5" w:rsidP="002210F5">
            <w:r w:rsidRPr="00E741EF">
              <w:t>Green Link - Ribble Links</w:t>
            </w:r>
          </w:p>
        </w:tc>
        <w:tc>
          <w:tcPr>
            <w:tcW w:w="1247" w:type="dxa"/>
            <w:tcMar>
              <w:right w:w="113" w:type="dxa"/>
            </w:tcMar>
            <w:vAlign w:val="center"/>
          </w:tcPr>
          <w:p w:rsidR="002210F5" w:rsidRDefault="002210F5" w:rsidP="002210F5">
            <w:pPr>
              <w:jc w:val="right"/>
            </w:pPr>
            <w:r>
              <w:t>36,000</w:t>
            </w:r>
          </w:p>
        </w:tc>
        <w:tc>
          <w:tcPr>
            <w:tcW w:w="1247" w:type="dxa"/>
            <w:tcMar>
              <w:right w:w="113" w:type="dxa"/>
            </w:tcMar>
            <w:vAlign w:val="center"/>
          </w:tcPr>
          <w:p w:rsidR="002210F5" w:rsidRDefault="002210F5" w:rsidP="002210F5">
            <w:pPr>
              <w:jc w:val="right"/>
            </w:pPr>
            <w:r>
              <w:t>-</w:t>
            </w:r>
          </w:p>
        </w:tc>
        <w:tc>
          <w:tcPr>
            <w:tcW w:w="1247" w:type="dxa"/>
            <w:tcMar>
              <w:right w:w="113" w:type="dxa"/>
            </w:tcMar>
            <w:vAlign w:val="center"/>
          </w:tcPr>
          <w:p w:rsidR="002210F5" w:rsidRDefault="002210F5" w:rsidP="002210F5">
            <w:pPr>
              <w:jc w:val="right"/>
            </w:pPr>
            <w:r>
              <w:t>36,000</w:t>
            </w:r>
          </w:p>
        </w:tc>
        <w:tc>
          <w:tcPr>
            <w:tcW w:w="1247" w:type="dxa"/>
            <w:tcMar>
              <w:right w:w="113" w:type="dxa"/>
            </w:tcMar>
            <w:vAlign w:val="center"/>
          </w:tcPr>
          <w:p w:rsidR="002210F5" w:rsidRDefault="002210F5" w:rsidP="002210F5">
            <w:pPr>
              <w:jc w:val="right"/>
            </w:pPr>
            <w:r>
              <w:t>-</w:t>
            </w:r>
          </w:p>
        </w:tc>
        <w:tc>
          <w:tcPr>
            <w:tcW w:w="1247" w:type="dxa"/>
            <w:tcMar>
              <w:right w:w="113" w:type="dxa"/>
            </w:tcMar>
            <w:vAlign w:val="center"/>
          </w:tcPr>
          <w:p w:rsidR="002210F5" w:rsidRDefault="002210F5" w:rsidP="002210F5">
            <w:pPr>
              <w:jc w:val="right"/>
            </w:pPr>
            <w:r>
              <w:t>-</w:t>
            </w:r>
          </w:p>
        </w:tc>
        <w:tc>
          <w:tcPr>
            <w:tcW w:w="6634" w:type="dxa"/>
            <w:tcMar>
              <w:right w:w="57" w:type="dxa"/>
            </w:tcMar>
            <w:vAlign w:val="center"/>
          </w:tcPr>
          <w:p w:rsidR="002210F5" w:rsidRPr="00127FCD" w:rsidRDefault="002210F5" w:rsidP="002210F5">
            <w:r w:rsidRPr="00127FCD">
              <w:t>The project is programmed to start Q3</w:t>
            </w:r>
          </w:p>
        </w:tc>
      </w:tr>
      <w:tr w:rsidR="002210F5" w:rsidTr="00D3673D">
        <w:trPr>
          <w:gridAfter w:val="1"/>
          <w:wAfter w:w="7" w:type="dxa"/>
          <w:cantSplit/>
        </w:trPr>
        <w:tc>
          <w:tcPr>
            <w:tcW w:w="2830" w:type="dxa"/>
            <w:tcBorders>
              <w:bottom w:val="single" w:sz="4" w:space="0" w:color="BFBFBF" w:themeColor="background1" w:themeShade="BF"/>
            </w:tcBorders>
            <w:tcMar>
              <w:right w:w="57" w:type="dxa"/>
            </w:tcMar>
            <w:vAlign w:val="center"/>
          </w:tcPr>
          <w:p w:rsidR="002210F5" w:rsidRDefault="002210F5" w:rsidP="002210F5">
            <w:r w:rsidRPr="00E741EF">
              <w:t>Penwortham Holme Rec Centre drainage</w:t>
            </w:r>
          </w:p>
        </w:tc>
        <w:tc>
          <w:tcPr>
            <w:tcW w:w="1247" w:type="dxa"/>
            <w:tcBorders>
              <w:bottom w:val="single" w:sz="4" w:space="0" w:color="auto"/>
            </w:tcBorders>
            <w:tcMar>
              <w:right w:w="113" w:type="dxa"/>
            </w:tcMar>
            <w:vAlign w:val="center"/>
          </w:tcPr>
          <w:p w:rsidR="002210F5" w:rsidRDefault="002210F5" w:rsidP="002210F5">
            <w:pPr>
              <w:jc w:val="right"/>
            </w:pPr>
            <w:r>
              <w:t>125,000</w:t>
            </w:r>
          </w:p>
        </w:tc>
        <w:tc>
          <w:tcPr>
            <w:tcW w:w="1247" w:type="dxa"/>
            <w:tcBorders>
              <w:bottom w:val="single" w:sz="4" w:space="0" w:color="auto"/>
            </w:tcBorders>
            <w:tcMar>
              <w:right w:w="113" w:type="dxa"/>
            </w:tcMar>
            <w:vAlign w:val="center"/>
          </w:tcPr>
          <w:p w:rsidR="002210F5" w:rsidRDefault="002210F5" w:rsidP="002210F5">
            <w:pPr>
              <w:jc w:val="right"/>
            </w:pPr>
            <w:r>
              <w:t>127,950</w:t>
            </w:r>
          </w:p>
        </w:tc>
        <w:tc>
          <w:tcPr>
            <w:tcW w:w="1247" w:type="dxa"/>
            <w:tcBorders>
              <w:bottom w:val="single" w:sz="4" w:space="0" w:color="auto"/>
            </w:tcBorders>
            <w:tcMar>
              <w:right w:w="113" w:type="dxa"/>
            </w:tcMar>
            <w:vAlign w:val="center"/>
          </w:tcPr>
          <w:p w:rsidR="002210F5" w:rsidRDefault="002210F5" w:rsidP="002210F5">
            <w:pPr>
              <w:jc w:val="right"/>
            </w:pPr>
            <w:r>
              <w:t>129,000</w:t>
            </w:r>
          </w:p>
        </w:tc>
        <w:tc>
          <w:tcPr>
            <w:tcW w:w="1247" w:type="dxa"/>
            <w:tcBorders>
              <w:bottom w:val="single" w:sz="4" w:space="0" w:color="auto"/>
            </w:tcBorders>
            <w:tcMar>
              <w:right w:w="113" w:type="dxa"/>
            </w:tcMar>
            <w:vAlign w:val="center"/>
          </w:tcPr>
          <w:p w:rsidR="002210F5" w:rsidRDefault="00E203BC" w:rsidP="002210F5">
            <w:pPr>
              <w:jc w:val="right"/>
            </w:pPr>
            <w:r>
              <w:t>-</w:t>
            </w:r>
          </w:p>
        </w:tc>
        <w:tc>
          <w:tcPr>
            <w:tcW w:w="1247" w:type="dxa"/>
            <w:tcBorders>
              <w:bottom w:val="single" w:sz="4" w:space="0" w:color="auto"/>
            </w:tcBorders>
            <w:tcMar>
              <w:right w:w="113" w:type="dxa"/>
            </w:tcMar>
            <w:vAlign w:val="center"/>
          </w:tcPr>
          <w:p w:rsidR="002210F5" w:rsidRDefault="002210F5" w:rsidP="002F5E04">
            <w:pPr>
              <w:jc w:val="right"/>
            </w:pPr>
            <w:r>
              <w:t>4,000</w:t>
            </w:r>
          </w:p>
        </w:tc>
        <w:tc>
          <w:tcPr>
            <w:tcW w:w="6634" w:type="dxa"/>
            <w:tcBorders>
              <w:bottom w:val="single" w:sz="4" w:space="0" w:color="BFBFBF" w:themeColor="background1" w:themeShade="BF"/>
            </w:tcBorders>
            <w:tcMar>
              <w:right w:w="57" w:type="dxa"/>
            </w:tcMar>
            <w:vAlign w:val="center"/>
          </w:tcPr>
          <w:p w:rsidR="002210F5" w:rsidRDefault="002210F5" w:rsidP="002210F5">
            <w:r w:rsidRPr="00127FCD">
              <w:t xml:space="preserve">Works commenced Q2.  An overspend of £4k is forecasted due to poor weather conditions and a requirement to remove drainage channels. </w:t>
            </w:r>
          </w:p>
        </w:tc>
      </w:tr>
      <w:tr w:rsidR="002210F5" w:rsidRPr="004E1FF4" w:rsidTr="00D3673D">
        <w:trPr>
          <w:gridAfter w:val="1"/>
          <w:wAfter w:w="7" w:type="dxa"/>
          <w:cantSplit/>
        </w:trPr>
        <w:tc>
          <w:tcPr>
            <w:tcW w:w="2830" w:type="dxa"/>
            <w:tcBorders>
              <w:bottom w:val="nil"/>
              <w:right w:val="nil"/>
            </w:tcBorders>
            <w:tcMar>
              <w:right w:w="57" w:type="dxa"/>
            </w:tcMar>
            <w:vAlign w:val="center"/>
          </w:tcPr>
          <w:p w:rsidR="002210F5" w:rsidRPr="004E1FF4" w:rsidRDefault="002210F5" w:rsidP="002210F5">
            <w:pPr>
              <w:rPr>
                <w:b/>
              </w:rPr>
            </w:pPr>
          </w:p>
        </w:tc>
        <w:tc>
          <w:tcPr>
            <w:tcW w:w="1247" w:type="dxa"/>
            <w:tcBorders>
              <w:top w:val="single" w:sz="4" w:space="0" w:color="auto"/>
              <w:left w:val="nil"/>
              <w:bottom w:val="single" w:sz="4" w:space="0" w:color="auto"/>
              <w:right w:val="nil"/>
            </w:tcBorders>
            <w:tcMar>
              <w:right w:w="113" w:type="dxa"/>
            </w:tcMar>
            <w:vAlign w:val="center"/>
          </w:tcPr>
          <w:p w:rsidR="002210F5" w:rsidRPr="004E1FF4" w:rsidRDefault="002210F5" w:rsidP="002210F5">
            <w:pPr>
              <w:jc w:val="right"/>
              <w:rPr>
                <w:b/>
              </w:rPr>
            </w:pPr>
            <w:r>
              <w:rPr>
                <w:b/>
              </w:rPr>
              <w:t>400,000</w:t>
            </w:r>
          </w:p>
        </w:tc>
        <w:tc>
          <w:tcPr>
            <w:tcW w:w="1247" w:type="dxa"/>
            <w:tcBorders>
              <w:top w:val="single" w:sz="4" w:space="0" w:color="auto"/>
              <w:left w:val="nil"/>
              <w:bottom w:val="single" w:sz="4" w:space="0" w:color="auto"/>
              <w:right w:val="nil"/>
            </w:tcBorders>
            <w:tcMar>
              <w:right w:w="113" w:type="dxa"/>
            </w:tcMar>
            <w:vAlign w:val="center"/>
          </w:tcPr>
          <w:p w:rsidR="002210F5" w:rsidRPr="004E1FF4" w:rsidRDefault="002210F5" w:rsidP="002210F5">
            <w:pPr>
              <w:jc w:val="right"/>
              <w:rPr>
                <w:b/>
              </w:rPr>
            </w:pPr>
            <w:r>
              <w:rPr>
                <w:b/>
              </w:rPr>
              <w:t>132,256</w:t>
            </w:r>
          </w:p>
        </w:tc>
        <w:tc>
          <w:tcPr>
            <w:tcW w:w="1247" w:type="dxa"/>
            <w:tcBorders>
              <w:top w:val="single" w:sz="4" w:space="0" w:color="auto"/>
              <w:left w:val="nil"/>
              <w:bottom w:val="single" w:sz="4" w:space="0" w:color="auto"/>
              <w:right w:val="nil"/>
            </w:tcBorders>
            <w:tcMar>
              <w:right w:w="113" w:type="dxa"/>
            </w:tcMar>
            <w:vAlign w:val="center"/>
          </w:tcPr>
          <w:p w:rsidR="002210F5" w:rsidRPr="004E1FF4" w:rsidRDefault="002210F5" w:rsidP="002210F5">
            <w:pPr>
              <w:jc w:val="right"/>
              <w:rPr>
                <w:b/>
              </w:rPr>
            </w:pPr>
            <w:r>
              <w:rPr>
                <w:b/>
              </w:rPr>
              <w:t>404,000</w:t>
            </w:r>
          </w:p>
        </w:tc>
        <w:tc>
          <w:tcPr>
            <w:tcW w:w="1247" w:type="dxa"/>
            <w:tcBorders>
              <w:top w:val="single" w:sz="4" w:space="0" w:color="auto"/>
              <w:left w:val="nil"/>
              <w:bottom w:val="single" w:sz="4" w:space="0" w:color="auto"/>
              <w:right w:val="nil"/>
            </w:tcBorders>
            <w:tcMar>
              <w:right w:w="113" w:type="dxa"/>
            </w:tcMar>
            <w:vAlign w:val="center"/>
          </w:tcPr>
          <w:p w:rsidR="002210F5" w:rsidRPr="004E1FF4" w:rsidRDefault="00E203BC" w:rsidP="002210F5">
            <w:pPr>
              <w:jc w:val="right"/>
              <w:rPr>
                <w:b/>
              </w:rPr>
            </w:pPr>
            <w:r>
              <w:rPr>
                <w:b/>
              </w:rPr>
              <w:t>-</w:t>
            </w:r>
          </w:p>
        </w:tc>
        <w:tc>
          <w:tcPr>
            <w:tcW w:w="1247" w:type="dxa"/>
            <w:tcBorders>
              <w:top w:val="single" w:sz="4" w:space="0" w:color="auto"/>
              <w:left w:val="nil"/>
              <w:bottom w:val="single" w:sz="4" w:space="0" w:color="auto"/>
              <w:right w:val="nil"/>
            </w:tcBorders>
            <w:tcMar>
              <w:right w:w="113" w:type="dxa"/>
            </w:tcMar>
            <w:vAlign w:val="center"/>
          </w:tcPr>
          <w:p w:rsidR="002210F5" w:rsidRPr="004E1FF4" w:rsidRDefault="002210F5" w:rsidP="002F5E04">
            <w:pPr>
              <w:jc w:val="right"/>
              <w:rPr>
                <w:b/>
              </w:rPr>
            </w:pPr>
            <w:r>
              <w:rPr>
                <w:b/>
              </w:rPr>
              <w:t>4,000</w:t>
            </w:r>
          </w:p>
        </w:tc>
        <w:tc>
          <w:tcPr>
            <w:tcW w:w="6634" w:type="dxa"/>
            <w:tcBorders>
              <w:left w:val="nil"/>
              <w:bottom w:val="nil"/>
            </w:tcBorders>
            <w:tcMar>
              <w:right w:w="57" w:type="dxa"/>
            </w:tcMar>
            <w:vAlign w:val="center"/>
          </w:tcPr>
          <w:p w:rsidR="002210F5" w:rsidRPr="004E1FF4" w:rsidRDefault="002210F5" w:rsidP="002210F5">
            <w:pPr>
              <w:rPr>
                <w:b/>
              </w:rPr>
            </w:pPr>
          </w:p>
        </w:tc>
      </w:tr>
      <w:tr w:rsidR="002210F5" w:rsidTr="00D3673D">
        <w:trPr>
          <w:gridAfter w:val="1"/>
          <w:wAfter w:w="7" w:type="dxa"/>
          <w:cantSplit/>
        </w:trPr>
        <w:tc>
          <w:tcPr>
            <w:tcW w:w="2830" w:type="dxa"/>
            <w:tcBorders>
              <w:top w:val="nil"/>
              <w:bottom w:val="nil"/>
              <w:right w:val="nil"/>
            </w:tcBorders>
            <w:tcMar>
              <w:right w:w="57" w:type="dxa"/>
            </w:tcMar>
            <w:vAlign w:val="center"/>
          </w:tcPr>
          <w:p w:rsidR="002210F5" w:rsidRPr="00226377" w:rsidRDefault="002210F5" w:rsidP="002210F5"/>
        </w:tc>
        <w:tc>
          <w:tcPr>
            <w:tcW w:w="1247" w:type="dxa"/>
            <w:tcBorders>
              <w:top w:val="single" w:sz="4" w:space="0" w:color="auto"/>
              <w:left w:val="nil"/>
              <w:bottom w:val="nil"/>
              <w:right w:val="nil"/>
            </w:tcBorders>
            <w:tcMar>
              <w:right w:w="113" w:type="dxa"/>
            </w:tcMar>
            <w:vAlign w:val="center"/>
          </w:tcPr>
          <w:p w:rsidR="002210F5" w:rsidRDefault="002210F5" w:rsidP="002210F5">
            <w:pPr>
              <w:jc w:val="right"/>
            </w:pPr>
          </w:p>
        </w:tc>
        <w:tc>
          <w:tcPr>
            <w:tcW w:w="1247" w:type="dxa"/>
            <w:tcBorders>
              <w:top w:val="single" w:sz="4" w:space="0" w:color="auto"/>
              <w:left w:val="nil"/>
              <w:bottom w:val="nil"/>
              <w:right w:val="nil"/>
            </w:tcBorders>
            <w:tcMar>
              <w:right w:w="113" w:type="dxa"/>
            </w:tcMar>
            <w:vAlign w:val="center"/>
          </w:tcPr>
          <w:p w:rsidR="002210F5" w:rsidRDefault="002210F5" w:rsidP="002210F5">
            <w:pPr>
              <w:jc w:val="right"/>
            </w:pPr>
          </w:p>
        </w:tc>
        <w:tc>
          <w:tcPr>
            <w:tcW w:w="1247" w:type="dxa"/>
            <w:tcBorders>
              <w:top w:val="single" w:sz="4" w:space="0" w:color="auto"/>
              <w:left w:val="nil"/>
              <w:bottom w:val="nil"/>
              <w:right w:val="nil"/>
            </w:tcBorders>
            <w:tcMar>
              <w:right w:w="113" w:type="dxa"/>
            </w:tcMar>
            <w:vAlign w:val="center"/>
          </w:tcPr>
          <w:p w:rsidR="002210F5" w:rsidRDefault="002210F5" w:rsidP="002210F5">
            <w:pPr>
              <w:jc w:val="right"/>
            </w:pPr>
          </w:p>
        </w:tc>
        <w:tc>
          <w:tcPr>
            <w:tcW w:w="1247" w:type="dxa"/>
            <w:tcBorders>
              <w:top w:val="single" w:sz="4" w:space="0" w:color="auto"/>
              <w:left w:val="nil"/>
              <w:bottom w:val="nil"/>
              <w:right w:val="nil"/>
            </w:tcBorders>
            <w:tcMar>
              <w:right w:w="113" w:type="dxa"/>
            </w:tcMar>
            <w:vAlign w:val="center"/>
          </w:tcPr>
          <w:p w:rsidR="002210F5" w:rsidRDefault="002210F5" w:rsidP="002210F5">
            <w:pPr>
              <w:jc w:val="right"/>
            </w:pPr>
          </w:p>
        </w:tc>
        <w:tc>
          <w:tcPr>
            <w:tcW w:w="1247" w:type="dxa"/>
            <w:tcBorders>
              <w:top w:val="single" w:sz="4" w:space="0" w:color="auto"/>
              <w:left w:val="nil"/>
              <w:bottom w:val="nil"/>
              <w:right w:val="nil"/>
            </w:tcBorders>
            <w:tcMar>
              <w:right w:w="113" w:type="dxa"/>
            </w:tcMar>
          </w:tcPr>
          <w:p w:rsidR="002210F5" w:rsidRDefault="002210F5" w:rsidP="002210F5"/>
        </w:tc>
        <w:tc>
          <w:tcPr>
            <w:tcW w:w="6634" w:type="dxa"/>
            <w:tcBorders>
              <w:top w:val="nil"/>
              <w:left w:val="nil"/>
              <w:bottom w:val="nil"/>
            </w:tcBorders>
            <w:tcMar>
              <w:right w:w="57" w:type="dxa"/>
            </w:tcMar>
            <w:vAlign w:val="center"/>
          </w:tcPr>
          <w:p w:rsidR="002210F5" w:rsidRDefault="002210F5" w:rsidP="002210F5"/>
        </w:tc>
      </w:tr>
      <w:tr w:rsidR="002210F5" w:rsidTr="00D3673D">
        <w:trPr>
          <w:gridAfter w:val="1"/>
          <w:wAfter w:w="7" w:type="dxa"/>
          <w:cantSplit/>
        </w:trPr>
        <w:tc>
          <w:tcPr>
            <w:tcW w:w="2830" w:type="dxa"/>
            <w:tcBorders>
              <w:top w:val="nil"/>
              <w:right w:val="nil"/>
            </w:tcBorders>
            <w:tcMar>
              <w:right w:w="57" w:type="dxa"/>
            </w:tcMar>
            <w:vAlign w:val="center"/>
          </w:tcPr>
          <w:p w:rsidR="002210F5" w:rsidRPr="00025395" w:rsidRDefault="002210F5" w:rsidP="002210F5">
            <w:pPr>
              <w:pStyle w:val="Heading2"/>
              <w:outlineLvl w:val="1"/>
            </w:pPr>
            <w:r>
              <w:t>Existing Built Assets</w:t>
            </w:r>
          </w:p>
        </w:tc>
        <w:tc>
          <w:tcPr>
            <w:tcW w:w="1247" w:type="dxa"/>
            <w:tcBorders>
              <w:top w:val="nil"/>
              <w:left w:val="nil"/>
              <w:right w:val="nil"/>
            </w:tcBorders>
            <w:tcMar>
              <w:right w:w="113" w:type="dxa"/>
            </w:tcMar>
            <w:vAlign w:val="center"/>
          </w:tcPr>
          <w:p w:rsidR="002210F5" w:rsidRDefault="002210F5" w:rsidP="002210F5">
            <w:pPr>
              <w:jc w:val="right"/>
            </w:pPr>
          </w:p>
        </w:tc>
        <w:tc>
          <w:tcPr>
            <w:tcW w:w="1247" w:type="dxa"/>
            <w:tcBorders>
              <w:top w:val="nil"/>
              <w:left w:val="nil"/>
              <w:right w:val="nil"/>
            </w:tcBorders>
            <w:tcMar>
              <w:right w:w="113" w:type="dxa"/>
            </w:tcMar>
            <w:vAlign w:val="center"/>
          </w:tcPr>
          <w:p w:rsidR="002210F5" w:rsidRDefault="002210F5" w:rsidP="002210F5">
            <w:pPr>
              <w:jc w:val="right"/>
            </w:pPr>
          </w:p>
        </w:tc>
        <w:tc>
          <w:tcPr>
            <w:tcW w:w="1247" w:type="dxa"/>
            <w:tcBorders>
              <w:top w:val="nil"/>
              <w:left w:val="nil"/>
              <w:right w:val="nil"/>
            </w:tcBorders>
            <w:tcMar>
              <w:right w:w="113" w:type="dxa"/>
            </w:tcMar>
            <w:vAlign w:val="center"/>
          </w:tcPr>
          <w:p w:rsidR="002210F5" w:rsidRDefault="002210F5" w:rsidP="002210F5">
            <w:pPr>
              <w:jc w:val="right"/>
            </w:pPr>
          </w:p>
        </w:tc>
        <w:tc>
          <w:tcPr>
            <w:tcW w:w="1247" w:type="dxa"/>
            <w:tcBorders>
              <w:top w:val="nil"/>
              <w:left w:val="nil"/>
              <w:right w:val="nil"/>
            </w:tcBorders>
            <w:tcMar>
              <w:right w:w="113" w:type="dxa"/>
            </w:tcMar>
            <w:vAlign w:val="center"/>
          </w:tcPr>
          <w:p w:rsidR="002210F5" w:rsidRDefault="002210F5" w:rsidP="002210F5">
            <w:pPr>
              <w:jc w:val="right"/>
            </w:pPr>
          </w:p>
        </w:tc>
        <w:tc>
          <w:tcPr>
            <w:tcW w:w="1247" w:type="dxa"/>
            <w:tcBorders>
              <w:top w:val="nil"/>
              <w:left w:val="nil"/>
              <w:right w:val="nil"/>
            </w:tcBorders>
            <w:tcMar>
              <w:right w:w="113" w:type="dxa"/>
            </w:tcMar>
          </w:tcPr>
          <w:p w:rsidR="002210F5" w:rsidRDefault="002210F5" w:rsidP="002210F5"/>
        </w:tc>
        <w:tc>
          <w:tcPr>
            <w:tcW w:w="6634" w:type="dxa"/>
            <w:tcBorders>
              <w:top w:val="nil"/>
              <w:left w:val="nil"/>
            </w:tcBorders>
            <w:tcMar>
              <w:right w:w="57" w:type="dxa"/>
            </w:tcMar>
            <w:vAlign w:val="center"/>
          </w:tcPr>
          <w:p w:rsidR="002210F5" w:rsidRDefault="002210F5" w:rsidP="002210F5"/>
        </w:tc>
      </w:tr>
      <w:tr w:rsidR="00E203BC" w:rsidTr="003C445C">
        <w:trPr>
          <w:gridAfter w:val="1"/>
          <w:wAfter w:w="7" w:type="dxa"/>
          <w:cantSplit/>
        </w:trPr>
        <w:tc>
          <w:tcPr>
            <w:tcW w:w="2830" w:type="dxa"/>
            <w:tcMar>
              <w:right w:w="57" w:type="dxa"/>
            </w:tcMar>
            <w:vAlign w:val="center"/>
          </w:tcPr>
          <w:p w:rsidR="00E203BC" w:rsidRPr="009B49E2" w:rsidRDefault="00E203BC" w:rsidP="00E203BC">
            <w:r w:rsidRPr="009B49E2">
              <w:t>Farmyard Cottages roofing and cladding</w:t>
            </w:r>
          </w:p>
        </w:tc>
        <w:tc>
          <w:tcPr>
            <w:tcW w:w="1247" w:type="dxa"/>
            <w:tcMar>
              <w:right w:w="113" w:type="dxa"/>
            </w:tcMar>
            <w:vAlign w:val="center"/>
          </w:tcPr>
          <w:p w:rsidR="00E203BC" w:rsidRDefault="00E203BC" w:rsidP="00E203BC">
            <w:pPr>
              <w:jc w:val="right"/>
            </w:pPr>
            <w:r>
              <w:t>45,000</w:t>
            </w:r>
          </w:p>
        </w:tc>
        <w:tc>
          <w:tcPr>
            <w:tcW w:w="1247" w:type="dxa"/>
            <w:tcMar>
              <w:right w:w="113" w:type="dxa"/>
            </w:tcMar>
            <w:vAlign w:val="center"/>
          </w:tcPr>
          <w:p w:rsidR="00E203BC" w:rsidRDefault="00E203BC" w:rsidP="00E203BC">
            <w:pPr>
              <w:jc w:val="right"/>
            </w:pPr>
            <w:r>
              <w:t>43,171</w:t>
            </w:r>
          </w:p>
        </w:tc>
        <w:tc>
          <w:tcPr>
            <w:tcW w:w="1247" w:type="dxa"/>
            <w:tcMar>
              <w:right w:w="113" w:type="dxa"/>
            </w:tcMar>
            <w:vAlign w:val="center"/>
          </w:tcPr>
          <w:p w:rsidR="00E203BC" w:rsidRPr="00AF46B3" w:rsidRDefault="00E203BC" w:rsidP="00E203BC">
            <w:pPr>
              <w:jc w:val="right"/>
            </w:pPr>
            <w:r w:rsidRPr="00AF46B3">
              <w:t xml:space="preserve">43,171 </w:t>
            </w:r>
          </w:p>
        </w:tc>
        <w:tc>
          <w:tcPr>
            <w:tcW w:w="1247" w:type="dxa"/>
            <w:tcMar>
              <w:right w:w="113" w:type="dxa"/>
            </w:tcMar>
            <w:vAlign w:val="center"/>
          </w:tcPr>
          <w:p w:rsidR="00E203BC" w:rsidRPr="00AF46B3" w:rsidRDefault="00E203BC" w:rsidP="00E203BC">
            <w:pPr>
              <w:jc w:val="right"/>
            </w:pPr>
            <w:r>
              <w:t>-</w:t>
            </w:r>
          </w:p>
        </w:tc>
        <w:tc>
          <w:tcPr>
            <w:tcW w:w="1247" w:type="dxa"/>
            <w:tcMar>
              <w:right w:w="113" w:type="dxa"/>
            </w:tcMar>
            <w:vAlign w:val="center"/>
          </w:tcPr>
          <w:p w:rsidR="00E203BC" w:rsidRPr="00AF46B3" w:rsidRDefault="002F5E04" w:rsidP="00E203BC">
            <w:pPr>
              <w:jc w:val="right"/>
            </w:pPr>
            <w:r>
              <w:t>(</w:t>
            </w:r>
            <w:r w:rsidR="00E203BC" w:rsidRPr="00AF46B3">
              <w:t>1,829</w:t>
            </w:r>
            <w:r>
              <w:t>)</w:t>
            </w:r>
            <w:r w:rsidR="00E203BC" w:rsidRPr="00AF46B3">
              <w:t xml:space="preserve"> </w:t>
            </w:r>
          </w:p>
        </w:tc>
        <w:tc>
          <w:tcPr>
            <w:tcW w:w="6634" w:type="dxa"/>
            <w:tcMar>
              <w:right w:w="57" w:type="dxa"/>
            </w:tcMar>
            <w:vAlign w:val="center"/>
          </w:tcPr>
          <w:p w:rsidR="00E203BC" w:rsidRPr="00E37571" w:rsidRDefault="00E203BC" w:rsidP="00E203BC">
            <w:r w:rsidRPr="00E37571">
              <w:t>The work is complete and we are awaiting the final invoice</w:t>
            </w:r>
          </w:p>
        </w:tc>
      </w:tr>
      <w:tr w:rsidR="00E203BC" w:rsidTr="001E2C92">
        <w:trPr>
          <w:gridAfter w:val="1"/>
          <w:wAfter w:w="7" w:type="dxa"/>
          <w:cantSplit/>
        </w:trPr>
        <w:tc>
          <w:tcPr>
            <w:tcW w:w="2830" w:type="dxa"/>
            <w:tcMar>
              <w:right w:w="57" w:type="dxa"/>
            </w:tcMar>
            <w:vAlign w:val="center"/>
          </w:tcPr>
          <w:p w:rsidR="00E203BC" w:rsidRPr="009B49E2" w:rsidRDefault="00E203BC" w:rsidP="00E203BC">
            <w:r w:rsidRPr="009B49E2">
              <w:t>Penwortham Holme Pavilion</w:t>
            </w:r>
          </w:p>
        </w:tc>
        <w:tc>
          <w:tcPr>
            <w:tcW w:w="1247" w:type="dxa"/>
            <w:tcMar>
              <w:right w:w="113" w:type="dxa"/>
            </w:tcMar>
            <w:vAlign w:val="center"/>
          </w:tcPr>
          <w:p w:rsidR="00E203BC" w:rsidRDefault="00E203BC" w:rsidP="00E203BC">
            <w:pPr>
              <w:jc w:val="right"/>
            </w:pPr>
            <w:r>
              <w:t>120,000</w:t>
            </w:r>
          </w:p>
        </w:tc>
        <w:tc>
          <w:tcPr>
            <w:tcW w:w="1247" w:type="dxa"/>
            <w:tcMar>
              <w:right w:w="113" w:type="dxa"/>
            </w:tcMar>
            <w:vAlign w:val="center"/>
          </w:tcPr>
          <w:p w:rsidR="00E203BC" w:rsidRDefault="00E203BC" w:rsidP="00E203BC">
            <w:pPr>
              <w:jc w:val="right"/>
            </w:pPr>
            <w:r>
              <w:t>-</w:t>
            </w:r>
          </w:p>
        </w:tc>
        <w:tc>
          <w:tcPr>
            <w:tcW w:w="1247" w:type="dxa"/>
            <w:tcMar>
              <w:right w:w="113" w:type="dxa"/>
            </w:tcMar>
            <w:vAlign w:val="center"/>
          </w:tcPr>
          <w:p w:rsidR="00E203BC" w:rsidRPr="00AF46B3" w:rsidRDefault="003029B4" w:rsidP="00E203BC">
            <w:pPr>
              <w:jc w:val="right"/>
            </w:pPr>
            <w:r>
              <w:t>6</w:t>
            </w:r>
            <w:r w:rsidR="00E203BC" w:rsidRPr="00AF46B3">
              <w:t xml:space="preserve">0,000 </w:t>
            </w:r>
          </w:p>
        </w:tc>
        <w:tc>
          <w:tcPr>
            <w:tcW w:w="1247" w:type="dxa"/>
            <w:tcMar>
              <w:right w:w="113" w:type="dxa"/>
            </w:tcMar>
            <w:vAlign w:val="center"/>
          </w:tcPr>
          <w:p w:rsidR="00E203BC" w:rsidRPr="00AF46B3" w:rsidRDefault="008C20B0" w:rsidP="00E203BC">
            <w:pPr>
              <w:jc w:val="right"/>
            </w:pPr>
            <w:r>
              <w:t>(</w:t>
            </w:r>
            <w:r w:rsidR="003029B4">
              <w:t>60,000</w:t>
            </w:r>
            <w:r>
              <w:t>)</w:t>
            </w:r>
          </w:p>
        </w:tc>
        <w:tc>
          <w:tcPr>
            <w:tcW w:w="1247" w:type="dxa"/>
            <w:tcMar>
              <w:right w:w="113" w:type="dxa"/>
            </w:tcMar>
            <w:vAlign w:val="center"/>
          </w:tcPr>
          <w:p w:rsidR="00E203BC" w:rsidRPr="00AF46B3" w:rsidRDefault="00E203BC" w:rsidP="00E203BC">
            <w:pPr>
              <w:jc w:val="right"/>
            </w:pPr>
            <w:r>
              <w:t>-</w:t>
            </w:r>
          </w:p>
        </w:tc>
        <w:tc>
          <w:tcPr>
            <w:tcW w:w="6634" w:type="dxa"/>
            <w:tcMar>
              <w:right w:w="57" w:type="dxa"/>
            </w:tcMar>
            <w:vAlign w:val="center"/>
          </w:tcPr>
          <w:p w:rsidR="00E203BC" w:rsidRPr="00E37571" w:rsidRDefault="00E203BC" w:rsidP="00E203BC">
            <w:r w:rsidRPr="00E37571">
              <w:t>This project is on hold pending the outcome of the Parks and Playgrounds Strategy (PPS).</w:t>
            </w:r>
          </w:p>
        </w:tc>
      </w:tr>
      <w:tr w:rsidR="00E203BC" w:rsidTr="001E2C92">
        <w:trPr>
          <w:gridAfter w:val="1"/>
          <w:wAfter w:w="7" w:type="dxa"/>
          <w:cantSplit/>
        </w:trPr>
        <w:tc>
          <w:tcPr>
            <w:tcW w:w="2830" w:type="dxa"/>
            <w:tcMar>
              <w:right w:w="57" w:type="dxa"/>
            </w:tcMar>
            <w:vAlign w:val="center"/>
          </w:tcPr>
          <w:p w:rsidR="00E203BC" w:rsidRPr="009B49E2" w:rsidRDefault="00E203BC" w:rsidP="00E203BC">
            <w:r w:rsidRPr="009B49E2">
              <w:t>Withy Grove Toilets</w:t>
            </w:r>
          </w:p>
        </w:tc>
        <w:tc>
          <w:tcPr>
            <w:tcW w:w="1247" w:type="dxa"/>
            <w:tcMar>
              <w:right w:w="113" w:type="dxa"/>
            </w:tcMar>
            <w:vAlign w:val="center"/>
          </w:tcPr>
          <w:p w:rsidR="00E203BC" w:rsidRDefault="00E203BC" w:rsidP="00E203BC">
            <w:pPr>
              <w:jc w:val="right"/>
            </w:pPr>
            <w:r>
              <w:t>20,000</w:t>
            </w:r>
          </w:p>
        </w:tc>
        <w:tc>
          <w:tcPr>
            <w:tcW w:w="1247" w:type="dxa"/>
            <w:tcMar>
              <w:right w:w="113" w:type="dxa"/>
            </w:tcMar>
            <w:vAlign w:val="center"/>
          </w:tcPr>
          <w:p w:rsidR="00E203BC" w:rsidRDefault="00E203BC" w:rsidP="00E203BC">
            <w:pPr>
              <w:jc w:val="right"/>
            </w:pPr>
            <w:r>
              <w:t>-</w:t>
            </w:r>
          </w:p>
        </w:tc>
        <w:tc>
          <w:tcPr>
            <w:tcW w:w="1247" w:type="dxa"/>
            <w:tcMar>
              <w:right w:w="113" w:type="dxa"/>
            </w:tcMar>
            <w:vAlign w:val="center"/>
          </w:tcPr>
          <w:p w:rsidR="00E203BC" w:rsidRPr="00AF46B3" w:rsidRDefault="00E203BC" w:rsidP="00E203BC">
            <w:pPr>
              <w:jc w:val="right"/>
            </w:pPr>
            <w:r w:rsidRPr="00AF46B3">
              <w:t xml:space="preserve">20,000 </w:t>
            </w:r>
          </w:p>
        </w:tc>
        <w:tc>
          <w:tcPr>
            <w:tcW w:w="1247" w:type="dxa"/>
            <w:tcMar>
              <w:right w:w="113" w:type="dxa"/>
            </w:tcMar>
            <w:vAlign w:val="center"/>
          </w:tcPr>
          <w:p w:rsidR="00E203BC" w:rsidRPr="00AF46B3" w:rsidRDefault="00E203BC" w:rsidP="00E203BC">
            <w:pPr>
              <w:jc w:val="right"/>
            </w:pPr>
            <w:r w:rsidRPr="00AF46B3">
              <w:t>-</w:t>
            </w:r>
          </w:p>
        </w:tc>
        <w:tc>
          <w:tcPr>
            <w:tcW w:w="1247" w:type="dxa"/>
            <w:tcMar>
              <w:right w:w="113" w:type="dxa"/>
            </w:tcMar>
            <w:vAlign w:val="center"/>
          </w:tcPr>
          <w:p w:rsidR="00E203BC" w:rsidRPr="00AF46B3" w:rsidRDefault="00E203BC" w:rsidP="00E203BC">
            <w:pPr>
              <w:jc w:val="right"/>
            </w:pPr>
            <w:r>
              <w:t>-</w:t>
            </w:r>
          </w:p>
        </w:tc>
        <w:tc>
          <w:tcPr>
            <w:tcW w:w="6634" w:type="dxa"/>
            <w:tcMar>
              <w:right w:w="57" w:type="dxa"/>
            </w:tcMar>
            <w:vAlign w:val="center"/>
          </w:tcPr>
          <w:p w:rsidR="00E203BC" w:rsidRPr="00E37571" w:rsidRDefault="00E203BC" w:rsidP="00E203BC">
            <w:r w:rsidRPr="00E37571">
              <w:t>The project is programmed for Q4.</w:t>
            </w:r>
          </w:p>
        </w:tc>
      </w:tr>
      <w:tr w:rsidR="00E203BC" w:rsidTr="001E2C92">
        <w:trPr>
          <w:gridAfter w:val="1"/>
          <w:wAfter w:w="7" w:type="dxa"/>
          <w:cantSplit/>
        </w:trPr>
        <w:tc>
          <w:tcPr>
            <w:tcW w:w="2830" w:type="dxa"/>
            <w:tcMar>
              <w:right w:w="57" w:type="dxa"/>
            </w:tcMar>
            <w:vAlign w:val="center"/>
          </w:tcPr>
          <w:p w:rsidR="00E203BC" w:rsidRPr="009B49E2" w:rsidRDefault="00E203BC" w:rsidP="00E203BC">
            <w:r w:rsidRPr="009B49E2">
              <w:t>Worden Hall - repairs and making good</w:t>
            </w:r>
          </w:p>
        </w:tc>
        <w:tc>
          <w:tcPr>
            <w:tcW w:w="1247" w:type="dxa"/>
            <w:tcMar>
              <w:right w:w="113" w:type="dxa"/>
            </w:tcMar>
            <w:vAlign w:val="center"/>
          </w:tcPr>
          <w:p w:rsidR="00E203BC" w:rsidRDefault="00E203BC" w:rsidP="00E203BC">
            <w:pPr>
              <w:jc w:val="right"/>
            </w:pPr>
            <w:r>
              <w:t>50,000</w:t>
            </w:r>
          </w:p>
        </w:tc>
        <w:tc>
          <w:tcPr>
            <w:tcW w:w="1247" w:type="dxa"/>
            <w:tcMar>
              <w:right w:w="113" w:type="dxa"/>
            </w:tcMar>
            <w:vAlign w:val="center"/>
          </w:tcPr>
          <w:p w:rsidR="00E203BC" w:rsidRDefault="00E203BC" w:rsidP="00E203BC">
            <w:pPr>
              <w:jc w:val="right"/>
            </w:pPr>
            <w:r>
              <w:t>-</w:t>
            </w:r>
          </w:p>
        </w:tc>
        <w:tc>
          <w:tcPr>
            <w:tcW w:w="1247" w:type="dxa"/>
            <w:tcMar>
              <w:right w:w="113" w:type="dxa"/>
            </w:tcMar>
            <w:vAlign w:val="center"/>
          </w:tcPr>
          <w:p w:rsidR="00E203BC" w:rsidRPr="00AF46B3" w:rsidRDefault="00AE485A" w:rsidP="00E203BC">
            <w:pPr>
              <w:jc w:val="right"/>
            </w:pPr>
            <w:r>
              <w:t>50,000</w:t>
            </w:r>
            <w:r w:rsidR="00E203BC" w:rsidRPr="00AF46B3">
              <w:t xml:space="preserve"> </w:t>
            </w:r>
          </w:p>
        </w:tc>
        <w:tc>
          <w:tcPr>
            <w:tcW w:w="1247" w:type="dxa"/>
            <w:tcMar>
              <w:right w:w="113" w:type="dxa"/>
            </w:tcMar>
            <w:vAlign w:val="center"/>
          </w:tcPr>
          <w:p w:rsidR="00E203BC" w:rsidRPr="00AF46B3" w:rsidRDefault="00E203BC" w:rsidP="00E203BC">
            <w:pPr>
              <w:jc w:val="right"/>
            </w:pPr>
            <w:r w:rsidRPr="00AF46B3">
              <w:t>-</w:t>
            </w:r>
          </w:p>
        </w:tc>
        <w:tc>
          <w:tcPr>
            <w:tcW w:w="1247" w:type="dxa"/>
            <w:tcMar>
              <w:right w:w="113" w:type="dxa"/>
            </w:tcMar>
            <w:vAlign w:val="center"/>
          </w:tcPr>
          <w:p w:rsidR="00E203BC" w:rsidRPr="00AF46B3" w:rsidRDefault="00E203BC" w:rsidP="00E203BC">
            <w:pPr>
              <w:jc w:val="right"/>
            </w:pPr>
            <w:r>
              <w:t>-</w:t>
            </w:r>
          </w:p>
        </w:tc>
        <w:tc>
          <w:tcPr>
            <w:tcW w:w="6634" w:type="dxa"/>
            <w:vMerge w:val="restart"/>
            <w:tcMar>
              <w:right w:w="57" w:type="dxa"/>
            </w:tcMar>
            <w:vAlign w:val="center"/>
          </w:tcPr>
          <w:p w:rsidR="00E203BC" w:rsidRPr="00E37571" w:rsidRDefault="00E203BC" w:rsidP="00AE485A">
            <w:r w:rsidRPr="00E37571">
              <w:t xml:space="preserve">These </w:t>
            </w:r>
            <w:r>
              <w:t xml:space="preserve">3 </w:t>
            </w:r>
            <w:r w:rsidRPr="00E37571">
              <w:t xml:space="preserve">schemes are postponed pending a consultancy study of the future use of Worden Hall, which is due to be finalised </w:t>
            </w:r>
            <w:r w:rsidR="00AE485A">
              <w:t>in November</w:t>
            </w:r>
            <w:r>
              <w:t>.</w:t>
            </w:r>
            <w:r w:rsidR="00AE485A">
              <w:t xml:space="preserve">  As a result, the forecast has been reduced for 2018-19.</w:t>
            </w:r>
          </w:p>
        </w:tc>
      </w:tr>
      <w:tr w:rsidR="00E203BC" w:rsidTr="006C7741">
        <w:trPr>
          <w:gridAfter w:val="1"/>
          <w:wAfter w:w="7" w:type="dxa"/>
          <w:cantSplit/>
        </w:trPr>
        <w:tc>
          <w:tcPr>
            <w:tcW w:w="2830" w:type="dxa"/>
            <w:tcMar>
              <w:right w:w="57" w:type="dxa"/>
            </w:tcMar>
            <w:vAlign w:val="center"/>
          </w:tcPr>
          <w:p w:rsidR="00E203BC" w:rsidRPr="009B49E2" w:rsidRDefault="00E203BC" w:rsidP="00E203BC">
            <w:r w:rsidRPr="009B49E2">
              <w:t>Worden Hall - works to enable increased activity</w:t>
            </w:r>
          </w:p>
        </w:tc>
        <w:tc>
          <w:tcPr>
            <w:tcW w:w="1247" w:type="dxa"/>
            <w:tcMar>
              <w:right w:w="113" w:type="dxa"/>
            </w:tcMar>
            <w:vAlign w:val="center"/>
          </w:tcPr>
          <w:p w:rsidR="00E203BC" w:rsidRDefault="00E203BC" w:rsidP="00E203BC">
            <w:pPr>
              <w:jc w:val="right"/>
            </w:pPr>
            <w:r>
              <w:t>100,000</w:t>
            </w:r>
          </w:p>
        </w:tc>
        <w:tc>
          <w:tcPr>
            <w:tcW w:w="1247" w:type="dxa"/>
            <w:tcMar>
              <w:right w:w="113" w:type="dxa"/>
            </w:tcMar>
            <w:vAlign w:val="center"/>
          </w:tcPr>
          <w:p w:rsidR="00E203BC" w:rsidRDefault="00E203BC" w:rsidP="00E203BC">
            <w:pPr>
              <w:jc w:val="right"/>
            </w:pPr>
            <w:r>
              <w:t>-</w:t>
            </w:r>
          </w:p>
        </w:tc>
        <w:tc>
          <w:tcPr>
            <w:tcW w:w="1247" w:type="dxa"/>
            <w:tcMar>
              <w:right w:w="113" w:type="dxa"/>
            </w:tcMar>
            <w:vAlign w:val="center"/>
          </w:tcPr>
          <w:p w:rsidR="00E203BC" w:rsidRPr="00AF46B3" w:rsidRDefault="00AE485A" w:rsidP="00E203BC">
            <w:pPr>
              <w:jc w:val="right"/>
            </w:pPr>
            <w:r>
              <w:t>-</w:t>
            </w:r>
            <w:r w:rsidR="00E203BC" w:rsidRPr="00AF46B3">
              <w:t xml:space="preserve"> </w:t>
            </w:r>
          </w:p>
        </w:tc>
        <w:tc>
          <w:tcPr>
            <w:tcW w:w="1247" w:type="dxa"/>
            <w:tcMar>
              <w:right w:w="113" w:type="dxa"/>
            </w:tcMar>
            <w:vAlign w:val="center"/>
          </w:tcPr>
          <w:p w:rsidR="00E203BC" w:rsidRPr="00AF46B3" w:rsidRDefault="008C20B0" w:rsidP="00E203BC">
            <w:pPr>
              <w:jc w:val="right"/>
            </w:pPr>
            <w:r>
              <w:t>(</w:t>
            </w:r>
            <w:r w:rsidR="003029B4">
              <w:t>100,000</w:t>
            </w:r>
            <w:r>
              <w:t>)</w:t>
            </w:r>
          </w:p>
        </w:tc>
        <w:tc>
          <w:tcPr>
            <w:tcW w:w="1247" w:type="dxa"/>
            <w:tcMar>
              <w:right w:w="113" w:type="dxa"/>
            </w:tcMar>
            <w:vAlign w:val="center"/>
          </w:tcPr>
          <w:p w:rsidR="00E203BC" w:rsidRPr="00AF46B3" w:rsidRDefault="00E203BC" w:rsidP="00E203BC">
            <w:pPr>
              <w:jc w:val="right"/>
            </w:pPr>
            <w:r>
              <w:t>-</w:t>
            </w:r>
          </w:p>
        </w:tc>
        <w:tc>
          <w:tcPr>
            <w:tcW w:w="6634" w:type="dxa"/>
            <w:vMerge/>
            <w:tcMar>
              <w:right w:w="57" w:type="dxa"/>
            </w:tcMar>
            <w:vAlign w:val="center"/>
          </w:tcPr>
          <w:p w:rsidR="00E203BC" w:rsidRDefault="00E203BC" w:rsidP="00E203BC"/>
        </w:tc>
      </w:tr>
      <w:tr w:rsidR="00E203BC" w:rsidTr="006C7741">
        <w:trPr>
          <w:gridAfter w:val="1"/>
          <w:wAfter w:w="7" w:type="dxa"/>
          <w:cantSplit/>
        </w:trPr>
        <w:tc>
          <w:tcPr>
            <w:tcW w:w="2830" w:type="dxa"/>
            <w:tcMar>
              <w:right w:w="57" w:type="dxa"/>
            </w:tcMar>
            <w:vAlign w:val="center"/>
          </w:tcPr>
          <w:p w:rsidR="00E203BC" w:rsidRPr="009B49E2" w:rsidRDefault="00E203BC" w:rsidP="00E203BC">
            <w:r w:rsidRPr="009B49E2">
              <w:lastRenderedPageBreak/>
              <w:t>Worden Craft Units - Infrastructure upgrade</w:t>
            </w:r>
          </w:p>
        </w:tc>
        <w:tc>
          <w:tcPr>
            <w:tcW w:w="1247" w:type="dxa"/>
            <w:tcMar>
              <w:right w:w="113" w:type="dxa"/>
            </w:tcMar>
            <w:vAlign w:val="center"/>
          </w:tcPr>
          <w:p w:rsidR="00E203BC" w:rsidRDefault="00E203BC" w:rsidP="00E203BC">
            <w:pPr>
              <w:jc w:val="right"/>
            </w:pPr>
            <w:r>
              <w:t>25,000</w:t>
            </w:r>
          </w:p>
        </w:tc>
        <w:tc>
          <w:tcPr>
            <w:tcW w:w="1247" w:type="dxa"/>
            <w:tcMar>
              <w:right w:w="113" w:type="dxa"/>
            </w:tcMar>
            <w:vAlign w:val="center"/>
          </w:tcPr>
          <w:p w:rsidR="00E203BC" w:rsidRDefault="00E203BC" w:rsidP="00E203BC">
            <w:pPr>
              <w:jc w:val="right"/>
            </w:pPr>
            <w:r>
              <w:t>-</w:t>
            </w:r>
          </w:p>
        </w:tc>
        <w:tc>
          <w:tcPr>
            <w:tcW w:w="1247" w:type="dxa"/>
            <w:tcMar>
              <w:right w:w="113" w:type="dxa"/>
            </w:tcMar>
            <w:vAlign w:val="center"/>
          </w:tcPr>
          <w:p w:rsidR="00E203BC" w:rsidRPr="00AF46B3" w:rsidRDefault="00E203BC" w:rsidP="00E203BC">
            <w:pPr>
              <w:jc w:val="right"/>
            </w:pPr>
            <w:r w:rsidRPr="00AF46B3">
              <w:t xml:space="preserve">25,000 </w:t>
            </w:r>
          </w:p>
        </w:tc>
        <w:tc>
          <w:tcPr>
            <w:tcW w:w="1247" w:type="dxa"/>
            <w:tcMar>
              <w:right w:w="113" w:type="dxa"/>
            </w:tcMar>
            <w:vAlign w:val="center"/>
          </w:tcPr>
          <w:p w:rsidR="00E203BC" w:rsidRPr="00AF46B3" w:rsidRDefault="00E203BC" w:rsidP="00E203BC">
            <w:pPr>
              <w:jc w:val="right"/>
            </w:pPr>
            <w:r w:rsidRPr="00AF46B3">
              <w:t>-</w:t>
            </w:r>
          </w:p>
        </w:tc>
        <w:tc>
          <w:tcPr>
            <w:tcW w:w="1247" w:type="dxa"/>
            <w:tcMar>
              <w:right w:w="113" w:type="dxa"/>
            </w:tcMar>
            <w:vAlign w:val="center"/>
          </w:tcPr>
          <w:p w:rsidR="00E203BC" w:rsidRPr="00AF46B3" w:rsidRDefault="00E203BC" w:rsidP="00E203BC">
            <w:pPr>
              <w:jc w:val="right"/>
            </w:pPr>
            <w:r>
              <w:t>-</w:t>
            </w:r>
          </w:p>
        </w:tc>
        <w:tc>
          <w:tcPr>
            <w:tcW w:w="6634" w:type="dxa"/>
            <w:vMerge/>
            <w:tcMar>
              <w:right w:w="57" w:type="dxa"/>
            </w:tcMar>
            <w:vAlign w:val="center"/>
          </w:tcPr>
          <w:p w:rsidR="00E203BC" w:rsidRDefault="00E203BC" w:rsidP="00E203BC"/>
        </w:tc>
      </w:tr>
      <w:tr w:rsidR="00E203BC" w:rsidTr="006C7741">
        <w:trPr>
          <w:gridAfter w:val="1"/>
          <w:wAfter w:w="7" w:type="dxa"/>
          <w:cantSplit/>
        </w:trPr>
        <w:tc>
          <w:tcPr>
            <w:tcW w:w="2830" w:type="dxa"/>
            <w:tcMar>
              <w:right w:w="57" w:type="dxa"/>
            </w:tcMar>
            <w:vAlign w:val="center"/>
          </w:tcPr>
          <w:p w:rsidR="00E203BC" w:rsidRDefault="00E203BC" w:rsidP="00E203BC">
            <w:r w:rsidRPr="009B49E2">
              <w:t>Contingency</w:t>
            </w:r>
          </w:p>
        </w:tc>
        <w:tc>
          <w:tcPr>
            <w:tcW w:w="1247" w:type="dxa"/>
            <w:tcMar>
              <w:right w:w="113" w:type="dxa"/>
            </w:tcMar>
            <w:vAlign w:val="center"/>
          </w:tcPr>
          <w:p w:rsidR="00E203BC" w:rsidRDefault="00E203BC" w:rsidP="00E203BC">
            <w:pPr>
              <w:jc w:val="right"/>
            </w:pPr>
            <w:r>
              <w:t>65,000</w:t>
            </w:r>
          </w:p>
        </w:tc>
        <w:tc>
          <w:tcPr>
            <w:tcW w:w="1247" w:type="dxa"/>
            <w:tcMar>
              <w:right w:w="113" w:type="dxa"/>
            </w:tcMar>
            <w:vAlign w:val="center"/>
          </w:tcPr>
          <w:p w:rsidR="00E203BC" w:rsidRDefault="00E203BC" w:rsidP="00E203BC">
            <w:pPr>
              <w:jc w:val="right"/>
            </w:pPr>
            <w:r>
              <w:t>-</w:t>
            </w:r>
          </w:p>
        </w:tc>
        <w:tc>
          <w:tcPr>
            <w:tcW w:w="1247" w:type="dxa"/>
            <w:tcMar>
              <w:right w:w="113" w:type="dxa"/>
            </w:tcMar>
            <w:vAlign w:val="center"/>
          </w:tcPr>
          <w:p w:rsidR="00E203BC" w:rsidRPr="00AF46B3" w:rsidRDefault="00E203BC" w:rsidP="00E203BC">
            <w:pPr>
              <w:jc w:val="right"/>
            </w:pPr>
            <w:r w:rsidRPr="00AF46B3">
              <w:t xml:space="preserve">-  </w:t>
            </w:r>
          </w:p>
        </w:tc>
        <w:tc>
          <w:tcPr>
            <w:tcW w:w="1247" w:type="dxa"/>
            <w:tcMar>
              <w:right w:w="113" w:type="dxa"/>
            </w:tcMar>
            <w:vAlign w:val="center"/>
          </w:tcPr>
          <w:p w:rsidR="00E203BC" w:rsidRDefault="008C20B0" w:rsidP="00E203BC">
            <w:pPr>
              <w:jc w:val="right"/>
            </w:pPr>
            <w:r>
              <w:t>(</w:t>
            </w:r>
            <w:r w:rsidR="00E203BC" w:rsidRPr="00AF46B3">
              <w:t>65,000</w:t>
            </w:r>
            <w:r>
              <w:t>)</w:t>
            </w:r>
          </w:p>
        </w:tc>
        <w:tc>
          <w:tcPr>
            <w:tcW w:w="1247" w:type="dxa"/>
            <w:tcBorders>
              <w:bottom w:val="single" w:sz="4" w:space="0" w:color="auto"/>
            </w:tcBorders>
            <w:tcMar>
              <w:right w:w="113" w:type="dxa"/>
            </w:tcMar>
            <w:vAlign w:val="center"/>
          </w:tcPr>
          <w:p w:rsidR="00E203BC" w:rsidRPr="00AF46B3" w:rsidRDefault="00E203BC" w:rsidP="00E203BC">
            <w:pPr>
              <w:jc w:val="right"/>
            </w:pPr>
            <w:r>
              <w:t>-</w:t>
            </w:r>
          </w:p>
        </w:tc>
        <w:tc>
          <w:tcPr>
            <w:tcW w:w="6634" w:type="dxa"/>
            <w:tcMar>
              <w:right w:w="57" w:type="dxa"/>
            </w:tcMar>
            <w:vAlign w:val="center"/>
          </w:tcPr>
          <w:p w:rsidR="00E203BC" w:rsidRDefault="00E203BC" w:rsidP="00E203BC">
            <w:r w:rsidRPr="00E37571">
              <w:t>This is the residual value of the 'Existing Built Assets' budget of £400k.  This can be drawn down when needed for existing or new schemes.</w:t>
            </w:r>
          </w:p>
        </w:tc>
      </w:tr>
      <w:tr w:rsidR="00E203BC" w:rsidRPr="004E1FF4" w:rsidTr="00B164F1">
        <w:trPr>
          <w:gridAfter w:val="1"/>
          <w:wAfter w:w="7" w:type="dxa"/>
          <w:cantSplit/>
        </w:trPr>
        <w:tc>
          <w:tcPr>
            <w:tcW w:w="2830" w:type="dxa"/>
            <w:tcBorders>
              <w:bottom w:val="nil"/>
              <w:right w:val="nil"/>
            </w:tcBorders>
            <w:tcMar>
              <w:right w:w="57" w:type="dxa"/>
            </w:tcMar>
            <w:vAlign w:val="center"/>
          </w:tcPr>
          <w:p w:rsidR="00E203BC" w:rsidRPr="004E1FF4" w:rsidRDefault="00E203BC" w:rsidP="00E203BC">
            <w:pPr>
              <w:rPr>
                <w:b/>
              </w:rPr>
            </w:pPr>
          </w:p>
        </w:tc>
        <w:tc>
          <w:tcPr>
            <w:tcW w:w="1247" w:type="dxa"/>
            <w:tcBorders>
              <w:top w:val="single" w:sz="4" w:space="0" w:color="auto"/>
              <w:left w:val="nil"/>
              <w:bottom w:val="single" w:sz="4" w:space="0" w:color="auto"/>
              <w:right w:val="nil"/>
            </w:tcBorders>
            <w:tcMar>
              <w:right w:w="113" w:type="dxa"/>
            </w:tcMar>
            <w:vAlign w:val="center"/>
          </w:tcPr>
          <w:p w:rsidR="00E203BC" w:rsidRPr="004E1FF4" w:rsidRDefault="00E203BC" w:rsidP="00E203BC">
            <w:pPr>
              <w:jc w:val="right"/>
              <w:rPr>
                <w:b/>
              </w:rPr>
            </w:pPr>
            <w:r>
              <w:rPr>
                <w:b/>
              </w:rPr>
              <w:t>425,000</w:t>
            </w:r>
          </w:p>
        </w:tc>
        <w:tc>
          <w:tcPr>
            <w:tcW w:w="1247" w:type="dxa"/>
            <w:tcBorders>
              <w:top w:val="single" w:sz="4" w:space="0" w:color="auto"/>
              <w:left w:val="nil"/>
              <w:bottom w:val="single" w:sz="4" w:space="0" w:color="auto"/>
              <w:right w:val="nil"/>
            </w:tcBorders>
            <w:tcMar>
              <w:right w:w="113" w:type="dxa"/>
            </w:tcMar>
            <w:vAlign w:val="center"/>
          </w:tcPr>
          <w:p w:rsidR="00E203BC" w:rsidRPr="004E1FF4" w:rsidRDefault="00E203BC" w:rsidP="00E203BC">
            <w:pPr>
              <w:jc w:val="right"/>
              <w:rPr>
                <w:b/>
              </w:rPr>
            </w:pPr>
            <w:r>
              <w:rPr>
                <w:b/>
              </w:rPr>
              <w:t>43,171</w:t>
            </w:r>
          </w:p>
        </w:tc>
        <w:tc>
          <w:tcPr>
            <w:tcW w:w="1247" w:type="dxa"/>
            <w:tcBorders>
              <w:top w:val="single" w:sz="4" w:space="0" w:color="auto"/>
              <w:left w:val="nil"/>
              <w:bottom w:val="single" w:sz="4" w:space="0" w:color="auto"/>
              <w:right w:val="nil"/>
            </w:tcBorders>
            <w:tcMar>
              <w:right w:w="113" w:type="dxa"/>
            </w:tcMar>
            <w:vAlign w:val="center"/>
          </w:tcPr>
          <w:p w:rsidR="00E203BC" w:rsidRPr="004E1FF4" w:rsidRDefault="006D7C07" w:rsidP="00E203BC">
            <w:pPr>
              <w:jc w:val="right"/>
              <w:rPr>
                <w:b/>
              </w:rPr>
            </w:pPr>
            <w:r>
              <w:rPr>
                <w:b/>
              </w:rPr>
              <w:t>19</w:t>
            </w:r>
            <w:r w:rsidR="00E203BC">
              <w:rPr>
                <w:b/>
              </w:rPr>
              <w:t>8,171</w:t>
            </w:r>
          </w:p>
        </w:tc>
        <w:tc>
          <w:tcPr>
            <w:tcW w:w="1247" w:type="dxa"/>
            <w:tcBorders>
              <w:top w:val="single" w:sz="4" w:space="0" w:color="auto"/>
              <w:left w:val="nil"/>
              <w:bottom w:val="single" w:sz="4" w:space="0" w:color="auto"/>
              <w:right w:val="nil"/>
            </w:tcBorders>
            <w:tcMar>
              <w:right w:w="113" w:type="dxa"/>
            </w:tcMar>
            <w:vAlign w:val="center"/>
          </w:tcPr>
          <w:p w:rsidR="00E203BC" w:rsidRPr="004E1FF4" w:rsidRDefault="008C20B0" w:rsidP="00E203BC">
            <w:pPr>
              <w:jc w:val="right"/>
              <w:rPr>
                <w:b/>
              </w:rPr>
            </w:pPr>
            <w:r>
              <w:rPr>
                <w:b/>
              </w:rPr>
              <w:t>(</w:t>
            </w:r>
            <w:r w:rsidR="006D7C07">
              <w:rPr>
                <w:b/>
              </w:rPr>
              <w:t>225</w:t>
            </w:r>
            <w:r w:rsidR="00E203BC">
              <w:rPr>
                <w:b/>
              </w:rPr>
              <w:t>,000</w:t>
            </w:r>
            <w:r>
              <w:rPr>
                <w:b/>
              </w:rPr>
              <w:t>)</w:t>
            </w:r>
          </w:p>
        </w:tc>
        <w:tc>
          <w:tcPr>
            <w:tcW w:w="1247" w:type="dxa"/>
            <w:tcBorders>
              <w:top w:val="single" w:sz="4" w:space="0" w:color="auto"/>
              <w:left w:val="nil"/>
              <w:bottom w:val="single" w:sz="4" w:space="0" w:color="auto"/>
              <w:right w:val="nil"/>
            </w:tcBorders>
            <w:tcMar>
              <w:right w:w="113" w:type="dxa"/>
            </w:tcMar>
            <w:vAlign w:val="center"/>
          </w:tcPr>
          <w:p w:rsidR="00E203BC" w:rsidRPr="004E1FF4" w:rsidRDefault="002F5E04" w:rsidP="00E203BC">
            <w:pPr>
              <w:jc w:val="right"/>
              <w:rPr>
                <w:b/>
              </w:rPr>
            </w:pPr>
            <w:r>
              <w:rPr>
                <w:b/>
              </w:rPr>
              <w:t>(</w:t>
            </w:r>
            <w:r w:rsidR="00E203BC">
              <w:rPr>
                <w:b/>
              </w:rPr>
              <w:t>1,829</w:t>
            </w:r>
            <w:r>
              <w:rPr>
                <w:b/>
              </w:rPr>
              <w:t>)</w:t>
            </w:r>
          </w:p>
        </w:tc>
        <w:tc>
          <w:tcPr>
            <w:tcW w:w="6634" w:type="dxa"/>
            <w:tcBorders>
              <w:left w:val="nil"/>
              <w:bottom w:val="nil"/>
            </w:tcBorders>
            <w:tcMar>
              <w:right w:w="57" w:type="dxa"/>
            </w:tcMar>
            <w:vAlign w:val="center"/>
          </w:tcPr>
          <w:p w:rsidR="00E203BC" w:rsidRPr="004E1FF4" w:rsidRDefault="00E203BC" w:rsidP="00E203BC">
            <w:pPr>
              <w:rPr>
                <w:b/>
              </w:rPr>
            </w:pPr>
          </w:p>
        </w:tc>
      </w:tr>
      <w:tr w:rsidR="00E203BC" w:rsidTr="00D3673D">
        <w:trPr>
          <w:gridAfter w:val="1"/>
          <w:wAfter w:w="7" w:type="dxa"/>
          <w:cantSplit/>
        </w:trPr>
        <w:tc>
          <w:tcPr>
            <w:tcW w:w="2830" w:type="dxa"/>
            <w:tcBorders>
              <w:top w:val="nil"/>
              <w:bottom w:val="nil"/>
              <w:right w:val="nil"/>
            </w:tcBorders>
            <w:tcMar>
              <w:right w:w="57" w:type="dxa"/>
            </w:tcMar>
            <w:vAlign w:val="center"/>
          </w:tcPr>
          <w:p w:rsidR="00E203BC" w:rsidRPr="00226377" w:rsidRDefault="00E203BC" w:rsidP="00E203BC"/>
        </w:tc>
        <w:tc>
          <w:tcPr>
            <w:tcW w:w="1247" w:type="dxa"/>
            <w:tcBorders>
              <w:top w:val="single" w:sz="4" w:space="0" w:color="auto"/>
              <w:left w:val="nil"/>
              <w:bottom w:val="nil"/>
              <w:right w:val="nil"/>
            </w:tcBorders>
            <w:tcMar>
              <w:right w:w="113" w:type="dxa"/>
            </w:tcMar>
            <w:vAlign w:val="center"/>
          </w:tcPr>
          <w:p w:rsidR="00E203BC" w:rsidRDefault="00E203BC" w:rsidP="00E203BC">
            <w:pPr>
              <w:jc w:val="right"/>
            </w:pPr>
          </w:p>
        </w:tc>
        <w:tc>
          <w:tcPr>
            <w:tcW w:w="1247" w:type="dxa"/>
            <w:tcBorders>
              <w:top w:val="single" w:sz="4" w:space="0" w:color="auto"/>
              <w:left w:val="nil"/>
              <w:bottom w:val="nil"/>
              <w:right w:val="nil"/>
            </w:tcBorders>
            <w:tcMar>
              <w:right w:w="113" w:type="dxa"/>
            </w:tcMar>
            <w:vAlign w:val="center"/>
          </w:tcPr>
          <w:p w:rsidR="00E203BC" w:rsidRDefault="00E203BC" w:rsidP="00E203BC">
            <w:pPr>
              <w:jc w:val="right"/>
            </w:pPr>
          </w:p>
        </w:tc>
        <w:tc>
          <w:tcPr>
            <w:tcW w:w="1247" w:type="dxa"/>
            <w:tcBorders>
              <w:top w:val="single" w:sz="4" w:space="0" w:color="auto"/>
              <w:left w:val="nil"/>
              <w:bottom w:val="nil"/>
              <w:right w:val="nil"/>
            </w:tcBorders>
            <w:tcMar>
              <w:right w:w="113" w:type="dxa"/>
            </w:tcMar>
            <w:vAlign w:val="center"/>
          </w:tcPr>
          <w:p w:rsidR="00E203BC" w:rsidRDefault="00E203BC" w:rsidP="00E203BC">
            <w:pPr>
              <w:jc w:val="right"/>
            </w:pPr>
          </w:p>
        </w:tc>
        <w:tc>
          <w:tcPr>
            <w:tcW w:w="1247" w:type="dxa"/>
            <w:tcBorders>
              <w:top w:val="single" w:sz="4" w:space="0" w:color="auto"/>
              <w:left w:val="nil"/>
              <w:bottom w:val="nil"/>
              <w:right w:val="nil"/>
            </w:tcBorders>
            <w:tcMar>
              <w:right w:w="113" w:type="dxa"/>
            </w:tcMar>
            <w:vAlign w:val="center"/>
          </w:tcPr>
          <w:p w:rsidR="00E203BC" w:rsidRDefault="00E203BC" w:rsidP="00E203BC">
            <w:pPr>
              <w:jc w:val="right"/>
            </w:pPr>
          </w:p>
        </w:tc>
        <w:tc>
          <w:tcPr>
            <w:tcW w:w="1247" w:type="dxa"/>
            <w:tcBorders>
              <w:top w:val="single" w:sz="4" w:space="0" w:color="auto"/>
              <w:left w:val="nil"/>
              <w:bottom w:val="nil"/>
              <w:right w:val="nil"/>
            </w:tcBorders>
            <w:tcMar>
              <w:right w:w="113" w:type="dxa"/>
            </w:tcMar>
          </w:tcPr>
          <w:p w:rsidR="00E203BC" w:rsidRDefault="00E203BC" w:rsidP="00E203BC"/>
        </w:tc>
        <w:tc>
          <w:tcPr>
            <w:tcW w:w="6634" w:type="dxa"/>
            <w:tcBorders>
              <w:top w:val="nil"/>
              <w:left w:val="nil"/>
              <w:bottom w:val="nil"/>
            </w:tcBorders>
            <w:tcMar>
              <w:right w:w="57" w:type="dxa"/>
            </w:tcMar>
            <w:vAlign w:val="center"/>
          </w:tcPr>
          <w:p w:rsidR="00E203BC" w:rsidRDefault="00E203BC" w:rsidP="00E203BC"/>
        </w:tc>
      </w:tr>
      <w:tr w:rsidR="00E203BC" w:rsidTr="00330389">
        <w:trPr>
          <w:gridAfter w:val="1"/>
          <w:wAfter w:w="7" w:type="dxa"/>
          <w:cantSplit/>
        </w:trPr>
        <w:tc>
          <w:tcPr>
            <w:tcW w:w="2830" w:type="dxa"/>
            <w:tcMar>
              <w:right w:w="57" w:type="dxa"/>
            </w:tcMar>
            <w:vAlign w:val="center"/>
          </w:tcPr>
          <w:p w:rsidR="00E203BC" w:rsidRPr="00C94340" w:rsidRDefault="00E203BC" w:rsidP="00E203BC">
            <w:r w:rsidRPr="00C94340">
              <w:t>New Leisure Facility</w:t>
            </w:r>
          </w:p>
        </w:tc>
        <w:tc>
          <w:tcPr>
            <w:tcW w:w="1247" w:type="dxa"/>
            <w:tcMar>
              <w:right w:w="113" w:type="dxa"/>
            </w:tcMar>
            <w:vAlign w:val="center"/>
          </w:tcPr>
          <w:p w:rsidR="00E203BC" w:rsidRDefault="00E203BC" w:rsidP="00E203BC">
            <w:pPr>
              <w:jc w:val="right"/>
            </w:pPr>
            <w:r>
              <w:t>100,000</w:t>
            </w:r>
          </w:p>
        </w:tc>
        <w:tc>
          <w:tcPr>
            <w:tcW w:w="1247" w:type="dxa"/>
            <w:tcMar>
              <w:right w:w="113" w:type="dxa"/>
            </w:tcMar>
            <w:vAlign w:val="center"/>
          </w:tcPr>
          <w:p w:rsidR="00E203BC" w:rsidRDefault="00E203BC" w:rsidP="00E203BC">
            <w:pPr>
              <w:jc w:val="right"/>
            </w:pPr>
            <w:r>
              <w:t>3,334</w:t>
            </w:r>
          </w:p>
        </w:tc>
        <w:tc>
          <w:tcPr>
            <w:tcW w:w="1247" w:type="dxa"/>
            <w:tcMar>
              <w:right w:w="113" w:type="dxa"/>
            </w:tcMar>
            <w:vAlign w:val="center"/>
          </w:tcPr>
          <w:p w:rsidR="00E203BC" w:rsidRDefault="00E203BC" w:rsidP="00E203BC">
            <w:pPr>
              <w:jc w:val="right"/>
            </w:pPr>
            <w:r>
              <w:t>100,000</w:t>
            </w:r>
          </w:p>
        </w:tc>
        <w:tc>
          <w:tcPr>
            <w:tcW w:w="1247" w:type="dxa"/>
            <w:tcMar>
              <w:right w:w="113" w:type="dxa"/>
            </w:tcMar>
            <w:vAlign w:val="center"/>
          </w:tcPr>
          <w:p w:rsidR="00E203BC" w:rsidRDefault="00E203BC" w:rsidP="00E203BC">
            <w:pPr>
              <w:jc w:val="right"/>
            </w:pPr>
            <w:r>
              <w:t>-</w:t>
            </w:r>
          </w:p>
        </w:tc>
        <w:tc>
          <w:tcPr>
            <w:tcW w:w="1247" w:type="dxa"/>
            <w:tcMar>
              <w:right w:w="113" w:type="dxa"/>
            </w:tcMar>
            <w:vAlign w:val="center"/>
          </w:tcPr>
          <w:p w:rsidR="00E203BC" w:rsidRPr="00AF46B3" w:rsidRDefault="00E203BC" w:rsidP="00E203BC">
            <w:pPr>
              <w:jc w:val="right"/>
            </w:pPr>
            <w:r>
              <w:t>-</w:t>
            </w:r>
          </w:p>
        </w:tc>
        <w:tc>
          <w:tcPr>
            <w:tcW w:w="6634" w:type="dxa"/>
            <w:shd w:val="clear" w:color="auto" w:fill="auto"/>
            <w:tcMar>
              <w:right w:w="57" w:type="dxa"/>
            </w:tcMar>
            <w:vAlign w:val="center"/>
          </w:tcPr>
          <w:p w:rsidR="00E203BC" w:rsidRDefault="00E203BC" w:rsidP="00E203BC">
            <w:r w:rsidRPr="00DE5F4E">
              <w:t>Cabinet will consider, in October, the approval of professional fees for this scheme.  Should this be approved, spend could then take place in Q4 and the scheme would be re</w:t>
            </w:r>
            <w:r>
              <w:t>-</w:t>
            </w:r>
            <w:r w:rsidRPr="00DE5F4E">
              <w:t xml:space="preserve">profiled with a </w:t>
            </w:r>
            <w:r>
              <w:t xml:space="preserve">revised </w:t>
            </w:r>
            <w:r w:rsidRPr="00DE5F4E">
              <w:t>forecast for 18-19.</w:t>
            </w:r>
          </w:p>
        </w:tc>
      </w:tr>
      <w:tr w:rsidR="00E203BC" w:rsidTr="00330389">
        <w:trPr>
          <w:gridAfter w:val="1"/>
          <w:wAfter w:w="7" w:type="dxa"/>
          <w:cantSplit/>
        </w:trPr>
        <w:tc>
          <w:tcPr>
            <w:tcW w:w="2830" w:type="dxa"/>
            <w:tcMar>
              <w:right w:w="57" w:type="dxa"/>
            </w:tcMar>
            <w:vAlign w:val="center"/>
          </w:tcPr>
          <w:p w:rsidR="00E203BC" w:rsidRDefault="00E203BC" w:rsidP="00E203BC">
            <w:r w:rsidRPr="00C94340">
              <w:t>Sport Pitch Hub</w:t>
            </w:r>
          </w:p>
        </w:tc>
        <w:tc>
          <w:tcPr>
            <w:tcW w:w="1247" w:type="dxa"/>
            <w:tcMar>
              <w:right w:w="113" w:type="dxa"/>
            </w:tcMar>
            <w:vAlign w:val="center"/>
          </w:tcPr>
          <w:p w:rsidR="00E203BC" w:rsidRDefault="00E203BC" w:rsidP="00E203BC">
            <w:pPr>
              <w:jc w:val="right"/>
            </w:pPr>
            <w:r>
              <w:t>1,000,000</w:t>
            </w:r>
          </w:p>
        </w:tc>
        <w:tc>
          <w:tcPr>
            <w:tcW w:w="1247" w:type="dxa"/>
            <w:tcMar>
              <w:right w:w="113" w:type="dxa"/>
            </w:tcMar>
            <w:vAlign w:val="center"/>
          </w:tcPr>
          <w:p w:rsidR="00E203BC" w:rsidRDefault="00E203BC" w:rsidP="00E203BC">
            <w:pPr>
              <w:jc w:val="right"/>
            </w:pPr>
            <w:r>
              <w:t>11,325</w:t>
            </w:r>
          </w:p>
        </w:tc>
        <w:tc>
          <w:tcPr>
            <w:tcW w:w="1247" w:type="dxa"/>
            <w:tcMar>
              <w:right w:w="113" w:type="dxa"/>
            </w:tcMar>
            <w:vAlign w:val="center"/>
          </w:tcPr>
          <w:p w:rsidR="00E203BC" w:rsidRDefault="00E203BC" w:rsidP="00E203BC">
            <w:pPr>
              <w:jc w:val="right"/>
            </w:pPr>
            <w:r>
              <w:t>1,000,000</w:t>
            </w:r>
          </w:p>
        </w:tc>
        <w:tc>
          <w:tcPr>
            <w:tcW w:w="1247" w:type="dxa"/>
            <w:tcMar>
              <w:right w:w="113" w:type="dxa"/>
            </w:tcMar>
            <w:vAlign w:val="center"/>
          </w:tcPr>
          <w:p w:rsidR="00E203BC" w:rsidRDefault="00E203BC" w:rsidP="00E203BC">
            <w:pPr>
              <w:jc w:val="right"/>
            </w:pPr>
            <w:r>
              <w:t>-</w:t>
            </w:r>
          </w:p>
        </w:tc>
        <w:tc>
          <w:tcPr>
            <w:tcW w:w="1247" w:type="dxa"/>
            <w:tcMar>
              <w:right w:w="113" w:type="dxa"/>
            </w:tcMar>
            <w:vAlign w:val="center"/>
          </w:tcPr>
          <w:p w:rsidR="00E203BC" w:rsidRPr="00AF46B3" w:rsidRDefault="00E203BC" w:rsidP="00E203BC">
            <w:pPr>
              <w:jc w:val="right"/>
            </w:pPr>
            <w:r>
              <w:t>-</w:t>
            </w:r>
          </w:p>
        </w:tc>
        <w:tc>
          <w:tcPr>
            <w:tcW w:w="6634" w:type="dxa"/>
            <w:tcMar>
              <w:right w:w="57" w:type="dxa"/>
            </w:tcMar>
            <w:vAlign w:val="center"/>
          </w:tcPr>
          <w:p w:rsidR="00E203BC" w:rsidRDefault="00E203BC" w:rsidP="003029B4">
            <w:r w:rsidRPr="00436B3A">
              <w:t>Procurement is underway to appoint a consultant to undertake the initial feasibility study (cost £12k).</w:t>
            </w:r>
            <w:r w:rsidR="003029B4">
              <w:t xml:space="preserve">  A large part of the budget, and forecast, relates to potential land acquisition costs.</w:t>
            </w:r>
          </w:p>
        </w:tc>
      </w:tr>
      <w:tr w:rsidR="00E203BC" w:rsidRPr="00252766" w:rsidTr="00D3673D">
        <w:trPr>
          <w:cantSplit/>
        </w:trPr>
        <w:tc>
          <w:tcPr>
            <w:tcW w:w="15706" w:type="dxa"/>
            <w:gridSpan w:val="8"/>
            <w:tcBorders>
              <w:top w:val="single" w:sz="4" w:space="0" w:color="BFBFBF" w:themeColor="background1" w:themeShade="BF"/>
              <w:bottom w:val="nil"/>
            </w:tcBorders>
            <w:tcMar>
              <w:right w:w="113" w:type="dxa"/>
            </w:tcMar>
            <w:vAlign w:val="center"/>
          </w:tcPr>
          <w:p w:rsidR="00E203BC" w:rsidRPr="00252766" w:rsidRDefault="00E203BC" w:rsidP="00E203BC">
            <w:pPr>
              <w:rPr>
                <w:u w:val="single"/>
              </w:rPr>
            </w:pPr>
          </w:p>
          <w:p w:rsidR="00E203BC" w:rsidRPr="00252766" w:rsidRDefault="00E203BC" w:rsidP="00E203BC">
            <w:pPr>
              <w:pStyle w:val="Heading1"/>
              <w:outlineLvl w:val="0"/>
            </w:pPr>
            <w:r>
              <w:t>Place</w:t>
            </w:r>
          </w:p>
        </w:tc>
      </w:tr>
      <w:tr w:rsidR="00E203BC" w:rsidTr="0045436A">
        <w:trPr>
          <w:gridAfter w:val="1"/>
          <w:wAfter w:w="7" w:type="dxa"/>
          <w:cantSplit/>
        </w:trPr>
        <w:tc>
          <w:tcPr>
            <w:tcW w:w="2830" w:type="dxa"/>
            <w:tcMar>
              <w:right w:w="57" w:type="dxa"/>
            </w:tcMar>
            <w:vAlign w:val="center"/>
          </w:tcPr>
          <w:p w:rsidR="00E203BC" w:rsidRPr="003834EC" w:rsidRDefault="00E203BC" w:rsidP="00E203BC">
            <w:r w:rsidRPr="003834EC">
              <w:t>Master</w:t>
            </w:r>
            <w:r>
              <w:t>-</w:t>
            </w:r>
            <w:r w:rsidRPr="003834EC">
              <w:t>planning &amp; Regen</w:t>
            </w:r>
            <w:r>
              <w:t>eration</w:t>
            </w:r>
            <w:r w:rsidRPr="003834EC">
              <w:t xml:space="preserve"> of key areas</w:t>
            </w:r>
          </w:p>
        </w:tc>
        <w:tc>
          <w:tcPr>
            <w:tcW w:w="1247" w:type="dxa"/>
            <w:tcMar>
              <w:right w:w="113" w:type="dxa"/>
            </w:tcMar>
            <w:vAlign w:val="center"/>
          </w:tcPr>
          <w:p w:rsidR="00E203BC" w:rsidRDefault="00E203BC" w:rsidP="00E203BC">
            <w:pPr>
              <w:jc w:val="right"/>
            </w:pPr>
            <w:r>
              <w:t>100,000</w:t>
            </w:r>
          </w:p>
        </w:tc>
        <w:tc>
          <w:tcPr>
            <w:tcW w:w="1247" w:type="dxa"/>
            <w:tcMar>
              <w:right w:w="113" w:type="dxa"/>
            </w:tcMar>
            <w:vAlign w:val="center"/>
          </w:tcPr>
          <w:p w:rsidR="00E203BC" w:rsidRDefault="00E203BC" w:rsidP="00E203BC">
            <w:pPr>
              <w:jc w:val="right"/>
            </w:pPr>
            <w:r>
              <w:t>-</w:t>
            </w:r>
          </w:p>
        </w:tc>
        <w:tc>
          <w:tcPr>
            <w:tcW w:w="1247" w:type="dxa"/>
            <w:tcMar>
              <w:right w:w="113" w:type="dxa"/>
            </w:tcMar>
            <w:vAlign w:val="center"/>
          </w:tcPr>
          <w:p w:rsidR="00E203BC" w:rsidRDefault="00B1073C" w:rsidP="00E203BC">
            <w:pPr>
              <w:jc w:val="right"/>
            </w:pPr>
            <w:r>
              <w:t>50</w:t>
            </w:r>
            <w:r w:rsidR="00E203BC">
              <w:t>,000</w:t>
            </w:r>
          </w:p>
        </w:tc>
        <w:tc>
          <w:tcPr>
            <w:tcW w:w="1247" w:type="dxa"/>
            <w:tcMar>
              <w:right w:w="113" w:type="dxa"/>
            </w:tcMar>
            <w:vAlign w:val="center"/>
          </w:tcPr>
          <w:p w:rsidR="00E203BC" w:rsidRDefault="00B1073C" w:rsidP="00E203BC">
            <w:pPr>
              <w:jc w:val="right"/>
            </w:pPr>
            <w:r>
              <w:t>(50,000)</w:t>
            </w:r>
          </w:p>
        </w:tc>
        <w:tc>
          <w:tcPr>
            <w:tcW w:w="1247" w:type="dxa"/>
            <w:tcMar>
              <w:right w:w="113" w:type="dxa"/>
            </w:tcMar>
            <w:vAlign w:val="center"/>
          </w:tcPr>
          <w:p w:rsidR="00E203BC" w:rsidRPr="00AF46B3" w:rsidRDefault="00E203BC" w:rsidP="00E203BC">
            <w:pPr>
              <w:jc w:val="right"/>
            </w:pPr>
            <w:r>
              <w:t>-</w:t>
            </w:r>
          </w:p>
        </w:tc>
        <w:tc>
          <w:tcPr>
            <w:tcW w:w="6634" w:type="dxa"/>
            <w:tcMar>
              <w:right w:w="57" w:type="dxa"/>
            </w:tcMar>
            <w:vAlign w:val="center"/>
          </w:tcPr>
          <w:p w:rsidR="00E203BC" w:rsidRPr="00F114EE" w:rsidRDefault="00E203BC" w:rsidP="00E203BC">
            <w:r w:rsidRPr="00F114EE">
              <w:t>The specification for masterplans for Leyland and Lostock Hall are being prepared.  A procurement framework will be used to appoint a provider to create the plans.  The bulk of the budget can then be used to deliver work towards the plans, although it might not be possible to achieve this before the end of the financial year.</w:t>
            </w:r>
          </w:p>
        </w:tc>
      </w:tr>
      <w:tr w:rsidR="00E203BC" w:rsidTr="0045436A">
        <w:trPr>
          <w:gridAfter w:val="1"/>
          <w:wAfter w:w="7" w:type="dxa"/>
          <w:cantSplit/>
        </w:trPr>
        <w:tc>
          <w:tcPr>
            <w:tcW w:w="2830" w:type="dxa"/>
            <w:tcMar>
              <w:right w:w="57" w:type="dxa"/>
            </w:tcMar>
            <w:vAlign w:val="center"/>
          </w:tcPr>
          <w:p w:rsidR="00E203BC" w:rsidRPr="003834EC" w:rsidRDefault="00B1073C" w:rsidP="00E203BC">
            <w:r w:rsidRPr="00B1073C">
              <w:t>Site Conversion at Station Road, Bamber Bridge</w:t>
            </w:r>
          </w:p>
        </w:tc>
        <w:tc>
          <w:tcPr>
            <w:tcW w:w="1247" w:type="dxa"/>
            <w:tcMar>
              <w:right w:w="113" w:type="dxa"/>
            </w:tcMar>
            <w:vAlign w:val="center"/>
          </w:tcPr>
          <w:p w:rsidR="00E203BC" w:rsidRDefault="00E203BC" w:rsidP="0008471A">
            <w:pPr>
              <w:jc w:val="right"/>
            </w:pPr>
            <w:r>
              <w:t>5</w:t>
            </w:r>
            <w:r w:rsidR="0008471A">
              <w:t>82</w:t>
            </w:r>
            <w:r>
              <w:t>,</w:t>
            </w:r>
            <w:r w:rsidR="0008471A">
              <w:t>965</w:t>
            </w:r>
          </w:p>
        </w:tc>
        <w:tc>
          <w:tcPr>
            <w:tcW w:w="1247" w:type="dxa"/>
            <w:tcMar>
              <w:right w:w="113" w:type="dxa"/>
            </w:tcMar>
            <w:vAlign w:val="center"/>
          </w:tcPr>
          <w:p w:rsidR="00E203BC" w:rsidRDefault="00E203BC" w:rsidP="00E203BC">
            <w:pPr>
              <w:jc w:val="right"/>
            </w:pPr>
            <w:r>
              <w:t>-</w:t>
            </w:r>
          </w:p>
        </w:tc>
        <w:tc>
          <w:tcPr>
            <w:tcW w:w="1247" w:type="dxa"/>
            <w:tcMar>
              <w:right w:w="113" w:type="dxa"/>
            </w:tcMar>
            <w:vAlign w:val="center"/>
          </w:tcPr>
          <w:p w:rsidR="00E203BC" w:rsidRDefault="00E203BC" w:rsidP="0008471A">
            <w:pPr>
              <w:jc w:val="right"/>
            </w:pPr>
            <w:r>
              <w:t>5</w:t>
            </w:r>
            <w:r w:rsidR="0008471A">
              <w:t>82</w:t>
            </w:r>
            <w:r>
              <w:t>,</w:t>
            </w:r>
            <w:r w:rsidR="0008471A">
              <w:t>965</w:t>
            </w:r>
          </w:p>
        </w:tc>
        <w:tc>
          <w:tcPr>
            <w:tcW w:w="1247" w:type="dxa"/>
            <w:tcMar>
              <w:right w:w="113" w:type="dxa"/>
            </w:tcMar>
            <w:vAlign w:val="center"/>
          </w:tcPr>
          <w:p w:rsidR="00E203BC" w:rsidRDefault="00E203BC" w:rsidP="00E203BC">
            <w:pPr>
              <w:jc w:val="right"/>
            </w:pPr>
            <w:r>
              <w:t>-</w:t>
            </w:r>
          </w:p>
        </w:tc>
        <w:tc>
          <w:tcPr>
            <w:tcW w:w="1247" w:type="dxa"/>
            <w:tcMar>
              <w:right w:w="113" w:type="dxa"/>
            </w:tcMar>
            <w:vAlign w:val="center"/>
          </w:tcPr>
          <w:p w:rsidR="00E203BC" w:rsidRPr="00AF46B3" w:rsidRDefault="00E203BC" w:rsidP="00E203BC">
            <w:pPr>
              <w:jc w:val="right"/>
            </w:pPr>
            <w:r>
              <w:t>-</w:t>
            </w:r>
          </w:p>
        </w:tc>
        <w:tc>
          <w:tcPr>
            <w:tcW w:w="6634" w:type="dxa"/>
            <w:tcMar>
              <w:right w:w="57" w:type="dxa"/>
            </w:tcMar>
            <w:vAlign w:val="center"/>
          </w:tcPr>
          <w:p w:rsidR="00E203BC" w:rsidRPr="00F114EE" w:rsidRDefault="0008471A" w:rsidP="00E203BC">
            <w:r w:rsidRPr="0008471A">
              <w:t>Cabinet approved this scheme in October.  Tenders will be prepared in Q3 with works expect to be carried out in Q4.</w:t>
            </w:r>
          </w:p>
        </w:tc>
      </w:tr>
      <w:tr w:rsidR="00E203BC" w:rsidTr="001C0531">
        <w:trPr>
          <w:gridAfter w:val="1"/>
          <w:wAfter w:w="7" w:type="dxa"/>
          <w:cantSplit/>
        </w:trPr>
        <w:tc>
          <w:tcPr>
            <w:tcW w:w="2830" w:type="dxa"/>
            <w:tcMar>
              <w:right w:w="57" w:type="dxa"/>
            </w:tcMar>
            <w:vAlign w:val="center"/>
          </w:tcPr>
          <w:p w:rsidR="00E203BC" w:rsidRPr="003834EC" w:rsidRDefault="00E203BC" w:rsidP="00E203BC">
            <w:r w:rsidRPr="003834EC">
              <w:t>Disabled Facilities Grants</w:t>
            </w:r>
          </w:p>
        </w:tc>
        <w:tc>
          <w:tcPr>
            <w:tcW w:w="1247" w:type="dxa"/>
            <w:tcMar>
              <w:right w:w="113" w:type="dxa"/>
            </w:tcMar>
            <w:vAlign w:val="center"/>
          </w:tcPr>
          <w:p w:rsidR="00E203BC" w:rsidRDefault="00E203BC" w:rsidP="00E203BC">
            <w:pPr>
              <w:jc w:val="right"/>
            </w:pPr>
            <w:r>
              <w:t>782,104</w:t>
            </w:r>
          </w:p>
        </w:tc>
        <w:tc>
          <w:tcPr>
            <w:tcW w:w="1247" w:type="dxa"/>
            <w:tcMar>
              <w:right w:w="113" w:type="dxa"/>
            </w:tcMar>
            <w:vAlign w:val="center"/>
          </w:tcPr>
          <w:p w:rsidR="00E203BC" w:rsidRDefault="00E203BC" w:rsidP="00E203BC">
            <w:pPr>
              <w:jc w:val="right"/>
            </w:pPr>
            <w:r>
              <w:t>325,380</w:t>
            </w:r>
          </w:p>
        </w:tc>
        <w:tc>
          <w:tcPr>
            <w:tcW w:w="1247" w:type="dxa"/>
            <w:tcMar>
              <w:right w:w="113" w:type="dxa"/>
            </w:tcMar>
            <w:vAlign w:val="center"/>
          </w:tcPr>
          <w:p w:rsidR="00E203BC" w:rsidRDefault="00E203BC" w:rsidP="00E203BC">
            <w:pPr>
              <w:jc w:val="right"/>
            </w:pPr>
            <w:r>
              <w:t>782,104</w:t>
            </w:r>
          </w:p>
        </w:tc>
        <w:tc>
          <w:tcPr>
            <w:tcW w:w="1247" w:type="dxa"/>
            <w:tcMar>
              <w:right w:w="113" w:type="dxa"/>
            </w:tcMar>
            <w:vAlign w:val="center"/>
          </w:tcPr>
          <w:p w:rsidR="00E203BC" w:rsidRDefault="00E203BC" w:rsidP="00E203BC">
            <w:pPr>
              <w:jc w:val="right"/>
            </w:pPr>
            <w:r>
              <w:t>-</w:t>
            </w:r>
          </w:p>
        </w:tc>
        <w:tc>
          <w:tcPr>
            <w:tcW w:w="1247" w:type="dxa"/>
            <w:tcMar>
              <w:right w:w="113" w:type="dxa"/>
            </w:tcMar>
            <w:vAlign w:val="center"/>
          </w:tcPr>
          <w:p w:rsidR="00E203BC" w:rsidRPr="00AF46B3" w:rsidRDefault="00E203BC" w:rsidP="00E203BC">
            <w:pPr>
              <w:jc w:val="right"/>
            </w:pPr>
            <w:r>
              <w:t>-</w:t>
            </w:r>
          </w:p>
        </w:tc>
        <w:tc>
          <w:tcPr>
            <w:tcW w:w="6634" w:type="dxa"/>
            <w:tcMar>
              <w:right w:w="57" w:type="dxa"/>
            </w:tcMar>
            <w:vAlign w:val="center"/>
          </w:tcPr>
          <w:p w:rsidR="00E203BC" w:rsidRPr="00F114EE" w:rsidRDefault="00E203BC" w:rsidP="00E203BC">
            <w:r w:rsidRPr="00F114EE">
              <w:t>As of 8th October the total value of jobs in progress is £504k, awaiting completion is £279k and work completed and invoiced is £105k.  This brings the maximum total spend forecast for the year to £888k.  This is over the budget amount but allows cover for cancellations due to unforeseen circumstances, meaning the expected out-turn should be closer to the budget.</w:t>
            </w:r>
          </w:p>
        </w:tc>
      </w:tr>
      <w:tr w:rsidR="00E203BC" w:rsidTr="00C73859">
        <w:trPr>
          <w:gridAfter w:val="1"/>
          <w:wAfter w:w="7" w:type="dxa"/>
          <w:cantSplit/>
        </w:trPr>
        <w:tc>
          <w:tcPr>
            <w:tcW w:w="2830" w:type="dxa"/>
            <w:tcMar>
              <w:right w:w="57" w:type="dxa"/>
            </w:tcMar>
            <w:vAlign w:val="center"/>
          </w:tcPr>
          <w:p w:rsidR="00E203BC" w:rsidRPr="003834EC" w:rsidRDefault="00E203BC" w:rsidP="00E203BC">
            <w:r w:rsidRPr="003834EC">
              <w:lastRenderedPageBreak/>
              <w:t>Private Sector home improvement grants</w:t>
            </w:r>
          </w:p>
        </w:tc>
        <w:tc>
          <w:tcPr>
            <w:tcW w:w="1247" w:type="dxa"/>
            <w:tcMar>
              <w:right w:w="113" w:type="dxa"/>
            </w:tcMar>
            <w:vAlign w:val="center"/>
          </w:tcPr>
          <w:p w:rsidR="00E203BC" w:rsidRDefault="00E203BC" w:rsidP="00E203BC">
            <w:pPr>
              <w:jc w:val="right"/>
            </w:pPr>
            <w:r>
              <w:t>200,000</w:t>
            </w:r>
          </w:p>
        </w:tc>
        <w:tc>
          <w:tcPr>
            <w:tcW w:w="1247" w:type="dxa"/>
            <w:tcMar>
              <w:right w:w="113" w:type="dxa"/>
            </w:tcMar>
            <w:vAlign w:val="center"/>
          </w:tcPr>
          <w:p w:rsidR="00E203BC" w:rsidRDefault="00E203BC" w:rsidP="00E203BC">
            <w:pPr>
              <w:jc w:val="right"/>
            </w:pPr>
            <w:r>
              <w:t>40,752</w:t>
            </w:r>
          </w:p>
        </w:tc>
        <w:tc>
          <w:tcPr>
            <w:tcW w:w="1247" w:type="dxa"/>
            <w:tcMar>
              <w:right w:w="113" w:type="dxa"/>
            </w:tcMar>
            <w:vAlign w:val="center"/>
          </w:tcPr>
          <w:p w:rsidR="00E203BC" w:rsidRDefault="00E203BC" w:rsidP="00E203BC">
            <w:pPr>
              <w:jc w:val="right"/>
            </w:pPr>
            <w:r>
              <w:t>100,000</w:t>
            </w:r>
          </w:p>
        </w:tc>
        <w:tc>
          <w:tcPr>
            <w:tcW w:w="1247" w:type="dxa"/>
            <w:tcMar>
              <w:right w:w="113" w:type="dxa"/>
            </w:tcMar>
            <w:vAlign w:val="center"/>
          </w:tcPr>
          <w:p w:rsidR="00E203BC" w:rsidRDefault="008C20B0" w:rsidP="00E203BC">
            <w:pPr>
              <w:jc w:val="right"/>
            </w:pPr>
            <w:r>
              <w:t>(</w:t>
            </w:r>
            <w:r w:rsidR="00E203BC">
              <w:t>100,000</w:t>
            </w:r>
            <w:r>
              <w:t>)</w:t>
            </w:r>
          </w:p>
        </w:tc>
        <w:tc>
          <w:tcPr>
            <w:tcW w:w="1247" w:type="dxa"/>
            <w:tcMar>
              <w:right w:w="113" w:type="dxa"/>
            </w:tcMar>
            <w:vAlign w:val="center"/>
          </w:tcPr>
          <w:p w:rsidR="00E203BC" w:rsidRPr="00AF46B3" w:rsidRDefault="00E203BC" w:rsidP="00E203BC">
            <w:pPr>
              <w:jc w:val="right"/>
            </w:pPr>
            <w:r>
              <w:t>-</w:t>
            </w:r>
          </w:p>
        </w:tc>
        <w:tc>
          <w:tcPr>
            <w:tcW w:w="6634" w:type="dxa"/>
            <w:tcMar>
              <w:right w:w="57" w:type="dxa"/>
            </w:tcMar>
            <w:vAlign w:val="center"/>
          </w:tcPr>
          <w:p w:rsidR="00E203BC" w:rsidRPr="0023449B" w:rsidRDefault="00E203BC" w:rsidP="00E203BC">
            <w:r w:rsidRPr="0023449B">
              <w:t>As of 8th October the total spend has been £45k, with work in progress of £6.5k, giving a total forecast spend of £51.5k.  It is highly unlikely that the full budget will be spent because the take up for the grants has not been at the level expected when the budget was set.  Any underspend needs to be carried forward so that findings from the recently commissioned stock condition survey can be addressed in the next financial year.</w:t>
            </w:r>
          </w:p>
        </w:tc>
      </w:tr>
      <w:tr w:rsidR="00E203BC" w:rsidTr="00A02BC5">
        <w:trPr>
          <w:gridAfter w:val="1"/>
          <w:wAfter w:w="7" w:type="dxa"/>
          <w:cantSplit/>
        </w:trPr>
        <w:tc>
          <w:tcPr>
            <w:tcW w:w="2830" w:type="dxa"/>
            <w:tcMar>
              <w:right w:w="57" w:type="dxa"/>
            </w:tcMar>
            <w:vAlign w:val="center"/>
          </w:tcPr>
          <w:p w:rsidR="00E203BC" w:rsidRDefault="00E203BC" w:rsidP="00E203BC">
            <w:r w:rsidRPr="003834EC">
              <w:t>South Ribble Partnership</w:t>
            </w:r>
          </w:p>
        </w:tc>
        <w:tc>
          <w:tcPr>
            <w:tcW w:w="1247" w:type="dxa"/>
            <w:tcMar>
              <w:right w:w="113" w:type="dxa"/>
            </w:tcMar>
            <w:vAlign w:val="center"/>
          </w:tcPr>
          <w:p w:rsidR="00E203BC" w:rsidRDefault="00E203BC" w:rsidP="00E203BC">
            <w:pPr>
              <w:jc w:val="right"/>
            </w:pPr>
            <w:r>
              <w:t>27,914</w:t>
            </w:r>
          </w:p>
        </w:tc>
        <w:tc>
          <w:tcPr>
            <w:tcW w:w="1247" w:type="dxa"/>
            <w:tcMar>
              <w:right w:w="113" w:type="dxa"/>
            </w:tcMar>
            <w:vAlign w:val="center"/>
          </w:tcPr>
          <w:p w:rsidR="00E203BC" w:rsidRDefault="00E203BC" w:rsidP="00E203BC">
            <w:pPr>
              <w:jc w:val="right"/>
            </w:pPr>
            <w:r>
              <w:t>-</w:t>
            </w:r>
          </w:p>
        </w:tc>
        <w:tc>
          <w:tcPr>
            <w:tcW w:w="1247" w:type="dxa"/>
            <w:tcMar>
              <w:right w:w="113" w:type="dxa"/>
            </w:tcMar>
            <w:vAlign w:val="center"/>
          </w:tcPr>
          <w:p w:rsidR="00E203BC" w:rsidRDefault="00E203BC" w:rsidP="00E203BC">
            <w:pPr>
              <w:jc w:val="right"/>
            </w:pPr>
            <w:r>
              <w:t>-</w:t>
            </w:r>
          </w:p>
        </w:tc>
        <w:tc>
          <w:tcPr>
            <w:tcW w:w="1247" w:type="dxa"/>
            <w:tcMar>
              <w:right w:w="113" w:type="dxa"/>
            </w:tcMar>
            <w:vAlign w:val="center"/>
          </w:tcPr>
          <w:p w:rsidR="00E203BC" w:rsidRDefault="00E203BC" w:rsidP="00E203BC">
            <w:pPr>
              <w:jc w:val="right"/>
            </w:pPr>
            <w:r>
              <w:t>-</w:t>
            </w:r>
          </w:p>
        </w:tc>
        <w:tc>
          <w:tcPr>
            <w:tcW w:w="1247" w:type="dxa"/>
            <w:tcMar>
              <w:right w:w="113" w:type="dxa"/>
            </w:tcMar>
            <w:vAlign w:val="center"/>
          </w:tcPr>
          <w:p w:rsidR="00E203BC" w:rsidRDefault="002F5E04" w:rsidP="00E203BC">
            <w:pPr>
              <w:jc w:val="right"/>
            </w:pPr>
            <w:r>
              <w:t>(</w:t>
            </w:r>
            <w:r w:rsidR="00E203BC">
              <w:t>27,914</w:t>
            </w:r>
            <w:r>
              <w:t>)</w:t>
            </w:r>
          </w:p>
        </w:tc>
        <w:tc>
          <w:tcPr>
            <w:tcW w:w="6634" w:type="dxa"/>
            <w:tcMar>
              <w:right w:w="57" w:type="dxa"/>
            </w:tcMar>
            <w:vAlign w:val="center"/>
          </w:tcPr>
          <w:p w:rsidR="00E203BC" w:rsidRDefault="00E14175" w:rsidP="00E14175">
            <w:r>
              <w:t>This line relates to the residual PRG funding for the South Ribble Partnership.  Previously the majority of the funding was used as a contribution towards the salary of the Partnership Manager.  Since that role is has been brought into the permanent establishment, the funding is not needed for this purpose any longer and can be transferred to revenue. This funding will be used in the development of the Community and Volunteering strategy.</w:t>
            </w:r>
          </w:p>
        </w:tc>
      </w:tr>
      <w:tr w:rsidR="00E203BC" w:rsidRPr="00252766" w:rsidTr="00D3673D">
        <w:trPr>
          <w:cantSplit/>
        </w:trPr>
        <w:tc>
          <w:tcPr>
            <w:tcW w:w="15706" w:type="dxa"/>
            <w:gridSpan w:val="8"/>
            <w:tcBorders>
              <w:top w:val="single" w:sz="4" w:space="0" w:color="BFBFBF" w:themeColor="background1" w:themeShade="BF"/>
              <w:bottom w:val="nil"/>
            </w:tcBorders>
            <w:tcMar>
              <w:right w:w="113" w:type="dxa"/>
            </w:tcMar>
            <w:vAlign w:val="center"/>
          </w:tcPr>
          <w:p w:rsidR="00E203BC" w:rsidRPr="00252766" w:rsidRDefault="00E203BC" w:rsidP="00E203BC">
            <w:pPr>
              <w:rPr>
                <w:u w:val="single"/>
              </w:rPr>
            </w:pPr>
          </w:p>
          <w:p w:rsidR="00E203BC" w:rsidRPr="00252766" w:rsidRDefault="00E203BC" w:rsidP="00E203BC">
            <w:pPr>
              <w:pStyle w:val="Heading1"/>
              <w:outlineLvl w:val="0"/>
            </w:pPr>
            <w:r>
              <w:t>Excellence &amp; Financial Stability</w:t>
            </w:r>
          </w:p>
        </w:tc>
      </w:tr>
      <w:tr w:rsidR="00E203BC" w:rsidTr="00D3673D">
        <w:trPr>
          <w:gridAfter w:val="1"/>
          <w:wAfter w:w="7" w:type="dxa"/>
          <w:cantSplit/>
        </w:trPr>
        <w:tc>
          <w:tcPr>
            <w:tcW w:w="2830" w:type="dxa"/>
            <w:tcBorders>
              <w:top w:val="nil"/>
              <w:right w:val="nil"/>
            </w:tcBorders>
            <w:tcMar>
              <w:right w:w="57" w:type="dxa"/>
            </w:tcMar>
            <w:vAlign w:val="center"/>
          </w:tcPr>
          <w:p w:rsidR="00E203BC" w:rsidRPr="00025395" w:rsidRDefault="00E203BC" w:rsidP="00E203BC">
            <w:pPr>
              <w:pStyle w:val="Heading2"/>
              <w:outlineLvl w:val="1"/>
            </w:pPr>
            <w:r>
              <w:t>IT Programme</w:t>
            </w:r>
          </w:p>
        </w:tc>
        <w:tc>
          <w:tcPr>
            <w:tcW w:w="1247" w:type="dxa"/>
            <w:tcBorders>
              <w:top w:val="nil"/>
              <w:left w:val="nil"/>
              <w:right w:val="nil"/>
            </w:tcBorders>
            <w:tcMar>
              <w:right w:w="113" w:type="dxa"/>
            </w:tcMar>
            <w:vAlign w:val="center"/>
          </w:tcPr>
          <w:p w:rsidR="00E203BC" w:rsidRDefault="00E203BC" w:rsidP="00E203BC">
            <w:pPr>
              <w:jc w:val="right"/>
            </w:pPr>
          </w:p>
        </w:tc>
        <w:tc>
          <w:tcPr>
            <w:tcW w:w="1247" w:type="dxa"/>
            <w:tcBorders>
              <w:top w:val="nil"/>
              <w:left w:val="nil"/>
              <w:right w:val="nil"/>
            </w:tcBorders>
            <w:tcMar>
              <w:right w:w="113" w:type="dxa"/>
            </w:tcMar>
            <w:vAlign w:val="center"/>
          </w:tcPr>
          <w:p w:rsidR="00E203BC" w:rsidRDefault="00E203BC" w:rsidP="00E203BC">
            <w:pPr>
              <w:jc w:val="right"/>
            </w:pPr>
          </w:p>
        </w:tc>
        <w:tc>
          <w:tcPr>
            <w:tcW w:w="1247" w:type="dxa"/>
            <w:tcBorders>
              <w:top w:val="nil"/>
              <w:left w:val="nil"/>
              <w:right w:val="nil"/>
            </w:tcBorders>
            <w:tcMar>
              <w:right w:w="113" w:type="dxa"/>
            </w:tcMar>
            <w:vAlign w:val="center"/>
          </w:tcPr>
          <w:p w:rsidR="00E203BC" w:rsidRDefault="00E203BC" w:rsidP="00E203BC">
            <w:pPr>
              <w:jc w:val="right"/>
            </w:pPr>
          </w:p>
        </w:tc>
        <w:tc>
          <w:tcPr>
            <w:tcW w:w="1247" w:type="dxa"/>
            <w:tcBorders>
              <w:top w:val="nil"/>
              <w:left w:val="nil"/>
              <w:right w:val="nil"/>
            </w:tcBorders>
            <w:tcMar>
              <w:right w:w="113" w:type="dxa"/>
            </w:tcMar>
            <w:vAlign w:val="center"/>
          </w:tcPr>
          <w:p w:rsidR="00E203BC" w:rsidRDefault="00E203BC" w:rsidP="00E203BC">
            <w:pPr>
              <w:jc w:val="right"/>
            </w:pPr>
          </w:p>
        </w:tc>
        <w:tc>
          <w:tcPr>
            <w:tcW w:w="1247" w:type="dxa"/>
            <w:tcBorders>
              <w:top w:val="nil"/>
              <w:left w:val="nil"/>
              <w:right w:val="nil"/>
            </w:tcBorders>
            <w:tcMar>
              <w:right w:w="113" w:type="dxa"/>
            </w:tcMar>
          </w:tcPr>
          <w:p w:rsidR="00E203BC" w:rsidRDefault="00E203BC" w:rsidP="00E203BC"/>
        </w:tc>
        <w:tc>
          <w:tcPr>
            <w:tcW w:w="6634" w:type="dxa"/>
            <w:tcBorders>
              <w:top w:val="nil"/>
              <w:left w:val="nil"/>
            </w:tcBorders>
            <w:tcMar>
              <w:right w:w="57" w:type="dxa"/>
            </w:tcMar>
            <w:vAlign w:val="center"/>
          </w:tcPr>
          <w:p w:rsidR="00E203BC" w:rsidRDefault="00E203BC" w:rsidP="00E203BC"/>
        </w:tc>
      </w:tr>
      <w:tr w:rsidR="00E203BC" w:rsidTr="009F4956">
        <w:trPr>
          <w:gridAfter w:val="1"/>
          <w:wAfter w:w="7" w:type="dxa"/>
          <w:cantSplit/>
        </w:trPr>
        <w:tc>
          <w:tcPr>
            <w:tcW w:w="2830" w:type="dxa"/>
            <w:tcMar>
              <w:right w:w="57" w:type="dxa"/>
            </w:tcMar>
            <w:vAlign w:val="center"/>
          </w:tcPr>
          <w:p w:rsidR="00E203BC" w:rsidRPr="00B923E6" w:rsidRDefault="00E203BC" w:rsidP="00E203BC">
            <w:r w:rsidRPr="00B923E6">
              <w:t>Civic Centre audio visual equipment</w:t>
            </w:r>
          </w:p>
        </w:tc>
        <w:tc>
          <w:tcPr>
            <w:tcW w:w="1247" w:type="dxa"/>
            <w:tcMar>
              <w:right w:w="113" w:type="dxa"/>
            </w:tcMar>
            <w:vAlign w:val="center"/>
          </w:tcPr>
          <w:p w:rsidR="00E203BC" w:rsidRPr="00880337" w:rsidRDefault="00E203BC" w:rsidP="00E203BC">
            <w:pPr>
              <w:jc w:val="right"/>
            </w:pPr>
            <w:r w:rsidRPr="00880337">
              <w:t xml:space="preserve">40,000 </w:t>
            </w:r>
          </w:p>
        </w:tc>
        <w:tc>
          <w:tcPr>
            <w:tcW w:w="1247" w:type="dxa"/>
            <w:tcMar>
              <w:right w:w="113" w:type="dxa"/>
            </w:tcMar>
            <w:vAlign w:val="center"/>
          </w:tcPr>
          <w:p w:rsidR="00E203BC" w:rsidRPr="00A40C0B" w:rsidRDefault="00E203BC" w:rsidP="00E203BC">
            <w:pPr>
              <w:jc w:val="right"/>
            </w:pPr>
            <w:r w:rsidRPr="00A40C0B">
              <w:t xml:space="preserve">39,958 </w:t>
            </w:r>
          </w:p>
        </w:tc>
        <w:tc>
          <w:tcPr>
            <w:tcW w:w="1247" w:type="dxa"/>
            <w:tcBorders>
              <w:top w:val="single" w:sz="4" w:space="0" w:color="BFBFBF"/>
              <w:left w:val="single" w:sz="4" w:space="0" w:color="BFBFBF"/>
              <w:bottom w:val="single" w:sz="4" w:space="0" w:color="BFBFBF"/>
              <w:right w:val="single" w:sz="4" w:space="0" w:color="BFBFBF"/>
            </w:tcBorders>
            <w:shd w:val="clear" w:color="auto" w:fill="auto"/>
            <w:tcMar>
              <w:right w:w="113" w:type="dxa"/>
            </w:tcMar>
            <w:vAlign w:val="center"/>
          </w:tcPr>
          <w:p w:rsidR="00E203BC" w:rsidRPr="00F605CF" w:rsidRDefault="00E203BC" w:rsidP="00F605CF">
            <w:pPr>
              <w:jc w:val="right"/>
            </w:pPr>
            <w:r w:rsidRPr="00F605CF">
              <w:t xml:space="preserve">39,958 </w:t>
            </w:r>
          </w:p>
        </w:tc>
        <w:tc>
          <w:tcPr>
            <w:tcW w:w="1247" w:type="dxa"/>
            <w:tcBorders>
              <w:top w:val="single" w:sz="4" w:space="0" w:color="BFBFBF"/>
              <w:left w:val="nil"/>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 xml:space="preserve">-  </w:t>
            </w:r>
          </w:p>
        </w:tc>
        <w:tc>
          <w:tcPr>
            <w:tcW w:w="1247" w:type="dxa"/>
            <w:tcMar>
              <w:right w:w="113" w:type="dxa"/>
            </w:tcMar>
            <w:vAlign w:val="center"/>
          </w:tcPr>
          <w:p w:rsidR="00E203BC" w:rsidRDefault="002F5E04" w:rsidP="00E203BC">
            <w:pPr>
              <w:jc w:val="right"/>
              <w:outlineLvl w:val="0"/>
              <w:rPr>
                <w:rFonts w:ascii="Calibri" w:hAnsi="Calibri"/>
              </w:rPr>
            </w:pPr>
            <w:r>
              <w:rPr>
                <w:rFonts w:ascii="Calibri" w:hAnsi="Calibri"/>
              </w:rPr>
              <w:t>(</w:t>
            </w:r>
            <w:r w:rsidR="00E203BC">
              <w:rPr>
                <w:rFonts w:ascii="Calibri" w:hAnsi="Calibri"/>
              </w:rPr>
              <w:t>42</w:t>
            </w:r>
            <w:r>
              <w:rPr>
                <w:rFonts w:ascii="Calibri" w:hAnsi="Calibri"/>
              </w:rPr>
              <w:t>)</w:t>
            </w:r>
            <w:r w:rsidR="00E203BC">
              <w:rPr>
                <w:rFonts w:ascii="Calibri" w:hAnsi="Calibri"/>
              </w:rPr>
              <w:t xml:space="preserve"> </w:t>
            </w:r>
          </w:p>
        </w:tc>
        <w:tc>
          <w:tcPr>
            <w:tcW w:w="6634" w:type="dxa"/>
            <w:tcMar>
              <w:right w:w="57" w:type="dxa"/>
            </w:tcMar>
            <w:vAlign w:val="center"/>
          </w:tcPr>
          <w:p w:rsidR="00E203BC" w:rsidRPr="00563314" w:rsidRDefault="00E203BC" w:rsidP="00E203BC">
            <w:r w:rsidRPr="00563314">
              <w:t>Work is complete and awaiting final invoice.</w:t>
            </w:r>
          </w:p>
        </w:tc>
      </w:tr>
      <w:tr w:rsidR="00E203BC" w:rsidTr="009F4956">
        <w:trPr>
          <w:gridAfter w:val="1"/>
          <w:wAfter w:w="7" w:type="dxa"/>
          <w:cantSplit/>
        </w:trPr>
        <w:tc>
          <w:tcPr>
            <w:tcW w:w="2830" w:type="dxa"/>
            <w:tcMar>
              <w:right w:w="57" w:type="dxa"/>
            </w:tcMar>
            <w:vAlign w:val="center"/>
          </w:tcPr>
          <w:p w:rsidR="00E203BC" w:rsidRPr="00B923E6" w:rsidRDefault="00E203BC" w:rsidP="00E203BC">
            <w:r w:rsidRPr="00B923E6">
              <w:t>Civic Centre additional AV equipment</w:t>
            </w:r>
          </w:p>
        </w:tc>
        <w:tc>
          <w:tcPr>
            <w:tcW w:w="1247" w:type="dxa"/>
            <w:tcMar>
              <w:right w:w="113" w:type="dxa"/>
            </w:tcMar>
            <w:vAlign w:val="center"/>
          </w:tcPr>
          <w:p w:rsidR="00E203BC" w:rsidRPr="00880337" w:rsidRDefault="00E203BC" w:rsidP="00E203BC">
            <w:pPr>
              <w:jc w:val="right"/>
            </w:pPr>
            <w:r w:rsidRPr="00880337">
              <w:t xml:space="preserve">10,349 </w:t>
            </w:r>
          </w:p>
        </w:tc>
        <w:tc>
          <w:tcPr>
            <w:tcW w:w="1247" w:type="dxa"/>
            <w:tcMar>
              <w:right w:w="113" w:type="dxa"/>
            </w:tcMar>
            <w:vAlign w:val="center"/>
          </w:tcPr>
          <w:p w:rsidR="00E203BC" w:rsidRPr="00A40C0B" w:rsidRDefault="00E203BC" w:rsidP="00E203BC">
            <w:pPr>
              <w:jc w:val="right"/>
            </w:pPr>
            <w:r w:rsidRPr="00A40C0B">
              <w:t xml:space="preserve">10,349 </w:t>
            </w:r>
          </w:p>
        </w:tc>
        <w:tc>
          <w:tcPr>
            <w:tcW w:w="1247" w:type="dxa"/>
            <w:tcBorders>
              <w:top w:val="nil"/>
              <w:left w:val="single" w:sz="4" w:space="0" w:color="BFBFBF"/>
              <w:bottom w:val="single" w:sz="4" w:space="0" w:color="BFBFBF"/>
              <w:right w:val="single" w:sz="4" w:space="0" w:color="BFBFBF"/>
            </w:tcBorders>
            <w:shd w:val="clear" w:color="auto" w:fill="auto"/>
            <w:tcMar>
              <w:right w:w="113" w:type="dxa"/>
            </w:tcMar>
            <w:vAlign w:val="center"/>
          </w:tcPr>
          <w:p w:rsidR="00E203BC" w:rsidRPr="00F605CF" w:rsidRDefault="00E203BC" w:rsidP="00F605CF">
            <w:pPr>
              <w:jc w:val="right"/>
            </w:pPr>
            <w:r w:rsidRPr="00F605CF">
              <w:t xml:space="preserve">10,349 </w:t>
            </w:r>
          </w:p>
        </w:tc>
        <w:tc>
          <w:tcPr>
            <w:tcW w:w="1247" w:type="dxa"/>
            <w:tcBorders>
              <w:top w:val="nil"/>
              <w:left w:val="nil"/>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 xml:space="preserve">-  </w:t>
            </w:r>
          </w:p>
        </w:tc>
        <w:tc>
          <w:tcPr>
            <w:tcW w:w="1247" w:type="dxa"/>
            <w:tcMar>
              <w:right w:w="113" w:type="dxa"/>
            </w:tcMar>
            <w:vAlign w:val="center"/>
          </w:tcPr>
          <w:p w:rsidR="00E203BC" w:rsidRDefault="00E203BC" w:rsidP="00E203BC">
            <w:pPr>
              <w:jc w:val="right"/>
              <w:outlineLvl w:val="0"/>
              <w:rPr>
                <w:rFonts w:ascii="Calibri" w:hAnsi="Calibri"/>
              </w:rPr>
            </w:pPr>
            <w:r>
              <w:rPr>
                <w:rFonts w:ascii="Calibri" w:hAnsi="Calibri"/>
              </w:rPr>
              <w:t xml:space="preserve">-  </w:t>
            </w:r>
          </w:p>
        </w:tc>
        <w:tc>
          <w:tcPr>
            <w:tcW w:w="6634" w:type="dxa"/>
            <w:tcMar>
              <w:right w:w="57" w:type="dxa"/>
            </w:tcMar>
            <w:vAlign w:val="center"/>
          </w:tcPr>
          <w:p w:rsidR="00E203BC" w:rsidRPr="00563314" w:rsidRDefault="00E203BC" w:rsidP="00E203BC">
            <w:r w:rsidRPr="00563314">
              <w:t>The equipment includes amplifier units and a new microphone system, which were not part of the specification for the above project.</w:t>
            </w:r>
          </w:p>
        </w:tc>
      </w:tr>
      <w:tr w:rsidR="00E203BC" w:rsidTr="009F4956">
        <w:trPr>
          <w:gridAfter w:val="1"/>
          <w:wAfter w:w="7" w:type="dxa"/>
          <w:cantSplit/>
        </w:trPr>
        <w:tc>
          <w:tcPr>
            <w:tcW w:w="2830" w:type="dxa"/>
            <w:tcMar>
              <w:right w:w="57" w:type="dxa"/>
            </w:tcMar>
            <w:vAlign w:val="center"/>
          </w:tcPr>
          <w:p w:rsidR="00E203BC" w:rsidRPr="00B923E6" w:rsidRDefault="00E203BC" w:rsidP="00E203BC">
            <w:r w:rsidRPr="00B923E6">
              <w:t>SAN hosts replacement</w:t>
            </w:r>
          </w:p>
        </w:tc>
        <w:tc>
          <w:tcPr>
            <w:tcW w:w="1247" w:type="dxa"/>
            <w:tcMar>
              <w:right w:w="113" w:type="dxa"/>
            </w:tcMar>
            <w:vAlign w:val="center"/>
          </w:tcPr>
          <w:p w:rsidR="00E203BC" w:rsidRPr="00880337" w:rsidRDefault="00E203BC" w:rsidP="00E203BC">
            <w:pPr>
              <w:jc w:val="right"/>
            </w:pPr>
            <w:r w:rsidRPr="00880337">
              <w:t xml:space="preserve">80,892 </w:t>
            </w:r>
          </w:p>
        </w:tc>
        <w:tc>
          <w:tcPr>
            <w:tcW w:w="1247" w:type="dxa"/>
            <w:tcMar>
              <w:right w:w="113" w:type="dxa"/>
            </w:tcMar>
            <w:vAlign w:val="center"/>
          </w:tcPr>
          <w:p w:rsidR="00E203BC" w:rsidRPr="00A40C0B" w:rsidRDefault="00E203BC" w:rsidP="00E203BC">
            <w:pPr>
              <w:jc w:val="right"/>
            </w:pPr>
            <w:r w:rsidRPr="00A40C0B">
              <w:t xml:space="preserve">80,892 </w:t>
            </w:r>
          </w:p>
        </w:tc>
        <w:tc>
          <w:tcPr>
            <w:tcW w:w="1247" w:type="dxa"/>
            <w:tcBorders>
              <w:top w:val="nil"/>
              <w:left w:val="single" w:sz="4" w:space="0" w:color="BFBFBF"/>
              <w:bottom w:val="single" w:sz="4" w:space="0" w:color="BFBFBF"/>
              <w:right w:val="single" w:sz="4" w:space="0" w:color="BFBFBF"/>
            </w:tcBorders>
            <w:shd w:val="clear" w:color="auto" w:fill="auto"/>
            <w:tcMar>
              <w:right w:w="113" w:type="dxa"/>
            </w:tcMar>
            <w:vAlign w:val="center"/>
          </w:tcPr>
          <w:p w:rsidR="00E203BC" w:rsidRPr="00F605CF" w:rsidRDefault="00E203BC" w:rsidP="00F605CF">
            <w:pPr>
              <w:jc w:val="right"/>
            </w:pPr>
            <w:r w:rsidRPr="00F605CF">
              <w:t xml:space="preserve">80,892 </w:t>
            </w:r>
          </w:p>
        </w:tc>
        <w:tc>
          <w:tcPr>
            <w:tcW w:w="1247" w:type="dxa"/>
            <w:tcBorders>
              <w:top w:val="nil"/>
              <w:left w:val="nil"/>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 xml:space="preserve">-  </w:t>
            </w:r>
          </w:p>
        </w:tc>
        <w:tc>
          <w:tcPr>
            <w:tcW w:w="1247" w:type="dxa"/>
            <w:tcMar>
              <w:right w:w="113" w:type="dxa"/>
            </w:tcMar>
            <w:vAlign w:val="center"/>
          </w:tcPr>
          <w:p w:rsidR="00E203BC" w:rsidRDefault="00E203BC" w:rsidP="00E203BC">
            <w:pPr>
              <w:jc w:val="right"/>
              <w:outlineLvl w:val="0"/>
              <w:rPr>
                <w:rFonts w:ascii="Calibri" w:hAnsi="Calibri"/>
              </w:rPr>
            </w:pPr>
            <w:r>
              <w:rPr>
                <w:rFonts w:ascii="Calibri" w:hAnsi="Calibri"/>
              </w:rPr>
              <w:t xml:space="preserve">-  </w:t>
            </w:r>
          </w:p>
        </w:tc>
        <w:tc>
          <w:tcPr>
            <w:tcW w:w="6634" w:type="dxa"/>
            <w:tcMar>
              <w:right w:w="57" w:type="dxa"/>
            </w:tcMar>
            <w:vAlign w:val="center"/>
          </w:tcPr>
          <w:p w:rsidR="00E203BC" w:rsidRPr="00563314" w:rsidRDefault="00E203BC" w:rsidP="00E203BC">
            <w:r w:rsidRPr="00563314">
              <w:t>The scheme is complete.</w:t>
            </w:r>
          </w:p>
        </w:tc>
      </w:tr>
      <w:tr w:rsidR="00E203BC" w:rsidTr="009F4956">
        <w:trPr>
          <w:gridAfter w:val="1"/>
          <w:wAfter w:w="7" w:type="dxa"/>
          <w:cantSplit/>
        </w:trPr>
        <w:tc>
          <w:tcPr>
            <w:tcW w:w="2830" w:type="dxa"/>
            <w:tcMar>
              <w:right w:w="57" w:type="dxa"/>
            </w:tcMar>
            <w:vAlign w:val="center"/>
          </w:tcPr>
          <w:p w:rsidR="00E203BC" w:rsidRPr="00B923E6" w:rsidRDefault="00E47C3A" w:rsidP="00E203BC">
            <w:r w:rsidRPr="00B923E6">
              <w:t>Wi-Fi</w:t>
            </w:r>
            <w:r w:rsidR="00E203BC" w:rsidRPr="00B923E6">
              <w:t xml:space="preserve"> upgrade</w:t>
            </w:r>
          </w:p>
        </w:tc>
        <w:tc>
          <w:tcPr>
            <w:tcW w:w="1247" w:type="dxa"/>
            <w:tcMar>
              <w:right w:w="113" w:type="dxa"/>
            </w:tcMar>
            <w:vAlign w:val="center"/>
          </w:tcPr>
          <w:p w:rsidR="00E203BC" w:rsidRPr="00880337" w:rsidRDefault="00E203BC" w:rsidP="00E203BC">
            <w:pPr>
              <w:jc w:val="right"/>
            </w:pPr>
            <w:r w:rsidRPr="00880337">
              <w:t xml:space="preserve">36,612 </w:t>
            </w:r>
          </w:p>
        </w:tc>
        <w:tc>
          <w:tcPr>
            <w:tcW w:w="1247" w:type="dxa"/>
            <w:tcMar>
              <w:right w:w="113" w:type="dxa"/>
            </w:tcMar>
            <w:vAlign w:val="center"/>
          </w:tcPr>
          <w:p w:rsidR="00E203BC" w:rsidRPr="00A40C0B" w:rsidRDefault="00E203BC" w:rsidP="00E203BC">
            <w:pPr>
              <w:jc w:val="right"/>
            </w:pPr>
            <w:r w:rsidRPr="00A40C0B">
              <w:t xml:space="preserve">39,188 </w:t>
            </w:r>
          </w:p>
        </w:tc>
        <w:tc>
          <w:tcPr>
            <w:tcW w:w="1247" w:type="dxa"/>
            <w:tcBorders>
              <w:top w:val="nil"/>
              <w:left w:val="single" w:sz="4" w:space="0" w:color="BFBFBF"/>
              <w:bottom w:val="single" w:sz="4" w:space="0" w:color="BFBFBF"/>
              <w:right w:val="single" w:sz="4" w:space="0" w:color="BFBFBF"/>
            </w:tcBorders>
            <w:shd w:val="clear" w:color="auto" w:fill="auto"/>
            <w:tcMar>
              <w:right w:w="113" w:type="dxa"/>
            </w:tcMar>
            <w:vAlign w:val="center"/>
          </w:tcPr>
          <w:p w:rsidR="00E203BC" w:rsidRPr="00F605CF" w:rsidRDefault="00E203BC" w:rsidP="00F605CF">
            <w:pPr>
              <w:jc w:val="right"/>
            </w:pPr>
            <w:r w:rsidRPr="00F605CF">
              <w:t xml:space="preserve">39,188 </w:t>
            </w:r>
          </w:p>
        </w:tc>
        <w:tc>
          <w:tcPr>
            <w:tcW w:w="1247" w:type="dxa"/>
            <w:tcBorders>
              <w:top w:val="nil"/>
              <w:left w:val="nil"/>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 xml:space="preserve">-  </w:t>
            </w:r>
          </w:p>
        </w:tc>
        <w:tc>
          <w:tcPr>
            <w:tcW w:w="1247" w:type="dxa"/>
            <w:tcMar>
              <w:right w:w="113" w:type="dxa"/>
            </w:tcMar>
            <w:vAlign w:val="center"/>
          </w:tcPr>
          <w:p w:rsidR="00E203BC" w:rsidRDefault="00E203BC" w:rsidP="002F5E04">
            <w:pPr>
              <w:jc w:val="right"/>
              <w:outlineLvl w:val="0"/>
              <w:rPr>
                <w:rFonts w:ascii="Calibri" w:hAnsi="Calibri"/>
              </w:rPr>
            </w:pPr>
            <w:r>
              <w:rPr>
                <w:rFonts w:ascii="Calibri" w:hAnsi="Calibri"/>
              </w:rPr>
              <w:t>2,576</w:t>
            </w:r>
          </w:p>
        </w:tc>
        <w:tc>
          <w:tcPr>
            <w:tcW w:w="6634" w:type="dxa"/>
            <w:tcMar>
              <w:right w:w="57" w:type="dxa"/>
            </w:tcMar>
            <w:vAlign w:val="center"/>
          </w:tcPr>
          <w:p w:rsidR="00E203BC" w:rsidRPr="00563314" w:rsidRDefault="00E203BC" w:rsidP="00E203BC">
            <w:r w:rsidRPr="00563314">
              <w:t>Work is complete and awaiting final invoice.</w:t>
            </w:r>
          </w:p>
        </w:tc>
      </w:tr>
      <w:tr w:rsidR="00E203BC" w:rsidTr="009F4956">
        <w:trPr>
          <w:gridAfter w:val="1"/>
          <w:wAfter w:w="7" w:type="dxa"/>
          <w:cantSplit/>
        </w:trPr>
        <w:tc>
          <w:tcPr>
            <w:tcW w:w="2830" w:type="dxa"/>
            <w:tcMar>
              <w:right w:w="57" w:type="dxa"/>
            </w:tcMar>
            <w:vAlign w:val="center"/>
          </w:tcPr>
          <w:p w:rsidR="00E203BC" w:rsidRPr="00B923E6" w:rsidRDefault="00E203BC" w:rsidP="00E203BC">
            <w:r w:rsidRPr="00B923E6">
              <w:t>Civica EDRMS Data Retention Module</w:t>
            </w:r>
          </w:p>
        </w:tc>
        <w:tc>
          <w:tcPr>
            <w:tcW w:w="1247" w:type="dxa"/>
            <w:tcMar>
              <w:right w:w="113" w:type="dxa"/>
            </w:tcMar>
            <w:vAlign w:val="center"/>
          </w:tcPr>
          <w:p w:rsidR="00E203BC" w:rsidRPr="00880337" w:rsidRDefault="00E203BC" w:rsidP="00E203BC">
            <w:pPr>
              <w:jc w:val="right"/>
            </w:pPr>
            <w:r w:rsidRPr="00880337">
              <w:t xml:space="preserve">25,155 </w:t>
            </w:r>
          </w:p>
        </w:tc>
        <w:tc>
          <w:tcPr>
            <w:tcW w:w="1247" w:type="dxa"/>
            <w:tcMar>
              <w:right w:w="113" w:type="dxa"/>
            </w:tcMar>
            <w:vAlign w:val="center"/>
          </w:tcPr>
          <w:p w:rsidR="00E203BC" w:rsidRPr="00A40C0B" w:rsidRDefault="00E203BC" w:rsidP="00E203BC">
            <w:pPr>
              <w:jc w:val="right"/>
            </w:pPr>
            <w:r w:rsidRPr="00A40C0B">
              <w:t xml:space="preserve">23,000 </w:t>
            </w:r>
          </w:p>
        </w:tc>
        <w:tc>
          <w:tcPr>
            <w:tcW w:w="1247" w:type="dxa"/>
            <w:tcBorders>
              <w:top w:val="nil"/>
              <w:left w:val="single" w:sz="4" w:space="0" w:color="BFBFBF"/>
              <w:bottom w:val="single" w:sz="4" w:space="0" w:color="BFBFBF"/>
              <w:right w:val="single" w:sz="4" w:space="0" w:color="BFBFBF"/>
            </w:tcBorders>
            <w:shd w:val="clear" w:color="auto" w:fill="auto"/>
            <w:tcMar>
              <w:right w:w="113" w:type="dxa"/>
            </w:tcMar>
            <w:vAlign w:val="center"/>
          </w:tcPr>
          <w:p w:rsidR="00E203BC" w:rsidRPr="00F605CF" w:rsidRDefault="00E203BC" w:rsidP="00F605CF">
            <w:pPr>
              <w:jc w:val="right"/>
            </w:pPr>
            <w:r w:rsidRPr="00F605CF">
              <w:t xml:space="preserve">23,000 </w:t>
            </w:r>
          </w:p>
        </w:tc>
        <w:tc>
          <w:tcPr>
            <w:tcW w:w="1247" w:type="dxa"/>
            <w:tcBorders>
              <w:top w:val="nil"/>
              <w:left w:val="nil"/>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 xml:space="preserve">-  </w:t>
            </w:r>
          </w:p>
        </w:tc>
        <w:tc>
          <w:tcPr>
            <w:tcW w:w="1247" w:type="dxa"/>
            <w:tcMar>
              <w:right w:w="113" w:type="dxa"/>
            </w:tcMar>
            <w:vAlign w:val="center"/>
          </w:tcPr>
          <w:p w:rsidR="00E203BC" w:rsidRDefault="002F5E04" w:rsidP="00E203BC">
            <w:pPr>
              <w:jc w:val="right"/>
              <w:outlineLvl w:val="0"/>
              <w:rPr>
                <w:rFonts w:ascii="Calibri" w:hAnsi="Calibri"/>
              </w:rPr>
            </w:pPr>
            <w:r>
              <w:rPr>
                <w:rFonts w:ascii="Calibri" w:hAnsi="Calibri"/>
              </w:rPr>
              <w:t>(</w:t>
            </w:r>
            <w:r w:rsidR="00E203BC">
              <w:rPr>
                <w:rFonts w:ascii="Calibri" w:hAnsi="Calibri"/>
              </w:rPr>
              <w:t>2,155</w:t>
            </w:r>
            <w:r>
              <w:rPr>
                <w:rFonts w:ascii="Calibri" w:hAnsi="Calibri"/>
              </w:rPr>
              <w:t>)</w:t>
            </w:r>
            <w:r w:rsidR="00E203BC">
              <w:rPr>
                <w:rFonts w:ascii="Calibri" w:hAnsi="Calibri"/>
              </w:rPr>
              <w:t xml:space="preserve"> </w:t>
            </w:r>
          </w:p>
        </w:tc>
        <w:tc>
          <w:tcPr>
            <w:tcW w:w="6634" w:type="dxa"/>
            <w:tcMar>
              <w:right w:w="57" w:type="dxa"/>
            </w:tcMar>
            <w:vAlign w:val="center"/>
          </w:tcPr>
          <w:p w:rsidR="00E203BC" w:rsidRPr="00563314" w:rsidRDefault="00E203BC" w:rsidP="00E203BC">
            <w:r w:rsidRPr="00563314">
              <w:t>Project complete.  There was a small saving due to a discount on the purchase.</w:t>
            </w:r>
          </w:p>
        </w:tc>
      </w:tr>
      <w:tr w:rsidR="00E203BC" w:rsidTr="009F4956">
        <w:trPr>
          <w:gridAfter w:val="1"/>
          <w:wAfter w:w="7" w:type="dxa"/>
          <w:cantSplit/>
        </w:trPr>
        <w:tc>
          <w:tcPr>
            <w:tcW w:w="2830" w:type="dxa"/>
            <w:tcMar>
              <w:right w:w="57" w:type="dxa"/>
            </w:tcMar>
            <w:vAlign w:val="center"/>
          </w:tcPr>
          <w:p w:rsidR="00E203BC" w:rsidRPr="00B923E6" w:rsidRDefault="00E203BC" w:rsidP="00E203BC">
            <w:r w:rsidRPr="00B923E6">
              <w:t>Civica Icon Upgrade</w:t>
            </w:r>
          </w:p>
        </w:tc>
        <w:tc>
          <w:tcPr>
            <w:tcW w:w="1247" w:type="dxa"/>
            <w:tcMar>
              <w:right w:w="113" w:type="dxa"/>
            </w:tcMar>
            <w:vAlign w:val="center"/>
          </w:tcPr>
          <w:p w:rsidR="00E203BC" w:rsidRPr="00880337" w:rsidRDefault="00E203BC" w:rsidP="00E203BC">
            <w:pPr>
              <w:jc w:val="right"/>
            </w:pPr>
            <w:r w:rsidRPr="00880337">
              <w:t xml:space="preserve">10,000 </w:t>
            </w:r>
          </w:p>
        </w:tc>
        <w:tc>
          <w:tcPr>
            <w:tcW w:w="1247" w:type="dxa"/>
            <w:tcMar>
              <w:right w:w="113" w:type="dxa"/>
            </w:tcMar>
            <w:vAlign w:val="center"/>
          </w:tcPr>
          <w:p w:rsidR="00E203BC" w:rsidRDefault="00E203BC" w:rsidP="00E203BC">
            <w:pPr>
              <w:jc w:val="right"/>
            </w:pPr>
            <w:r w:rsidRPr="00A40C0B">
              <w:t xml:space="preserve">10,000 </w:t>
            </w:r>
          </w:p>
        </w:tc>
        <w:tc>
          <w:tcPr>
            <w:tcW w:w="1247" w:type="dxa"/>
            <w:tcBorders>
              <w:top w:val="nil"/>
              <w:left w:val="single" w:sz="4" w:space="0" w:color="BFBFBF"/>
              <w:bottom w:val="single" w:sz="4" w:space="0" w:color="BFBFBF"/>
              <w:right w:val="single" w:sz="4" w:space="0" w:color="BFBFBF"/>
            </w:tcBorders>
            <w:shd w:val="clear" w:color="auto" w:fill="auto"/>
            <w:tcMar>
              <w:right w:w="113" w:type="dxa"/>
            </w:tcMar>
            <w:vAlign w:val="center"/>
          </w:tcPr>
          <w:p w:rsidR="00E203BC" w:rsidRPr="00F605CF" w:rsidRDefault="00E203BC" w:rsidP="00F605CF">
            <w:pPr>
              <w:jc w:val="right"/>
            </w:pPr>
            <w:r w:rsidRPr="00F605CF">
              <w:t xml:space="preserve">10,000 </w:t>
            </w:r>
          </w:p>
        </w:tc>
        <w:tc>
          <w:tcPr>
            <w:tcW w:w="1247" w:type="dxa"/>
            <w:tcBorders>
              <w:top w:val="nil"/>
              <w:left w:val="nil"/>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 xml:space="preserve">-  </w:t>
            </w:r>
          </w:p>
        </w:tc>
        <w:tc>
          <w:tcPr>
            <w:tcW w:w="1247" w:type="dxa"/>
            <w:tcMar>
              <w:right w:w="113" w:type="dxa"/>
            </w:tcMar>
            <w:vAlign w:val="center"/>
          </w:tcPr>
          <w:p w:rsidR="00E203BC" w:rsidRDefault="00E203BC" w:rsidP="00E203BC">
            <w:pPr>
              <w:jc w:val="right"/>
              <w:outlineLvl w:val="0"/>
              <w:rPr>
                <w:rFonts w:ascii="Calibri" w:hAnsi="Calibri"/>
              </w:rPr>
            </w:pPr>
            <w:r>
              <w:rPr>
                <w:rFonts w:ascii="Calibri" w:hAnsi="Calibri"/>
              </w:rPr>
              <w:t xml:space="preserve">-  </w:t>
            </w:r>
          </w:p>
        </w:tc>
        <w:tc>
          <w:tcPr>
            <w:tcW w:w="6634" w:type="dxa"/>
            <w:tcMar>
              <w:right w:w="57" w:type="dxa"/>
            </w:tcMar>
            <w:vAlign w:val="center"/>
          </w:tcPr>
          <w:p w:rsidR="00E203BC" w:rsidRPr="00563314" w:rsidRDefault="00E203BC" w:rsidP="00E203BC">
            <w:r w:rsidRPr="00563314">
              <w:t>An order has been raised and the upgrade will be carried out in Q3.</w:t>
            </w:r>
          </w:p>
        </w:tc>
      </w:tr>
      <w:tr w:rsidR="00E203BC" w:rsidTr="00592CF0">
        <w:trPr>
          <w:gridAfter w:val="1"/>
          <w:wAfter w:w="7" w:type="dxa"/>
          <w:cantSplit/>
        </w:trPr>
        <w:tc>
          <w:tcPr>
            <w:tcW w:w="2830" w:type="dxa"/>
            <w:tcMar>
              <w:right w:w="57" w:type="dxa"/>
            </w:tcMar>
            <w:vAlign w:val="center"/>
          </w:tcPr>
          <w:p w:rsidR="00E203BC" w:rsidRDefault="00E203BC" w:rsidP="00E203BC">
            <w:r w:rsidRPr="00B923E6">
              <w:t>IT Unallocated Funding</w:t>
            </w:r>
          </w:p>
        </w:tc>
        <w:tc>
          <w:tcPr>
            <w:tcW w:w="1247" w:type="dxa"/>
            <w:tcMar>
              <w:right w:w="113" w:type="dxa"/>
            </w:tcMar>
            <w:vAlign w:val="center"/>
          </w:tcPr>
          <w:p w:rsidR="00E203BC" w:rsidRDefault="00E203BC" w:rsidP="00E203BC">
            <w:pPr>
              <w:jc w:val="right"/>
            </w:pPr>
            <w:r w:rsidRPr="00880337">
              <w:t xml:space="preserve">21,236 </w:t>
            </w:r>
          </w:p>
        </w:tc>
        <w:tc>
          <w:tcPr>
            <w:tcW w:w="1247" w:type="dxa"/>
            <w:tcMar>
              <w:right w:w="113" w:type="dxa"/>
            </w:tcMar>
            <w:vAlign w:val="center"/>
          </w:tcPr>
          <w:p w:rsidR="00E203BC" w:rsidRDefault="00E203BC" w:rsidP="00E203BC">
            <w:pPr>
              <w:jc w:val="right"/>
            </w:pPr>
            <w:r>
              <w:t>-</w:t>
            </w:r>
          </w:p>
        </w:tc>
        <w:tc>
          <w:tcPr>
            <w:tcW w:w="1247" w:type="dxa"/>
            <w:tcBorders>
              <w:top w:val="nil"/>
              <w:left w:val="single" w:sz="4" w:space="0" w:color="BFBFBF"/>
              <w:bottom w:val="single" w:sz="4" w:space="0" w:color="BFBFBF"/>
              <w:right w:val="single" w:sz="4" w:space="0" w:color="BFBFBF"/>
            </w:tcBorders>
            <w:shd w:val="clear" w:color="auto" w:fill="auto"/>
            <w:tcMar>
              <w:right w:w="113" w:type="dxa"/>
            </w:tcMar>
            <w:vAlign w:val="center"/>
          </w:tcPr>
          <w:p w:rsidR="00E203BC" w:rsidRPr="00F605CF" w:rsidRDefault="00E203BC" w:rsidP="00F605CF">
            <w:pPr>
              <w:jc w:val="right"/>
            </w:pPr>
            <w:r w:rsidRPr="00F605CF">
              <w:t xml:space="preserve">-  </w:t>
            </w:r>
          </w:p>
        </w:tc>
        <w:tc>
          <w:tcPr>
            <w:tcW w:w="1247" w:type="dxa"/>
            <w:tcBorders>
              <w:top w:val="nil"/>
              <w:left w:val="nil"/>
              <w:bottom w:val="single" w:sz="4" w:space="0" w:color="BFBFBF"/>
              <w:right w:val="single" w:sz="4" w:space="0" w:color="BFBFBF"/>
            </w:tcBorders>
            <w:shd w:val="clear" w:color="auto" w:fill="auto"/>
            <w:tcMar>
              <w:right w:w="113" w:type="dxa"/>
            </w:tcMar>
            <w:vAlign w:val="center"/>
          </w:tcPr>
          <w:p w:rsidR="00E203BC" w:rsidRDefault="008C20B0" w:rsidP="00E203BC">
            <w:pPr>
              <w:jc w:val="right"/>
              <w:outlineLvl w:val="0"/>
              <w:rPr>
                <w:rFonts w:ascii="Calibri" w:hAnsi="Calibri"/>
              </w:rPr>
            </w:pPr>
            <w:r>
              <w:rPr>
                <w:rFonts w:ascii="Calibri" w:hAnsi="Calibri"/>
              </w:rPr>
              <w:t>(</w:t>
            </w:r>
            <w:r w:rsidR="00E203BC">
              <w:rPr>
                <w:rFonts w:ascii="Calibri" w:hAnsi="Calibri"/>
              </w:rPr>
              <w:t>21,236</w:t>
            </w:r>
            <w:r>
              <w:rPr>
                <w:rFonts w:ascii="Calibri" w:hAnsi="Calibri"/>
              </w:rPr>
              <w:t>)</w:t>
            </w:r>
            <w:r w:rsidR="00E203BC">
              <w:rPr>
                <w:rFonts w:ascii="Calibri" w:hAnsi="Calibri"/>
              </w:rPr>
              <w:t xml:space="preserve"> </w:t>
            </w:r>
          </w:p>
        </w:tc>
        <w:tc>
          <w:tcPr>
            <w:tcW w:w="1247" w:type="dxa"/>
            <w:tcBorders>
              <w:bottom w:val="single" w:sz="4" w:space="0" w:color="auto"/>
            </w:tcBorders>
            <w:tcMar>
              <w:right w:w="113" w:type="dxa"/>
            </w:tcMar>
            <w:vAlign w:val="center"/>
          </w:tcPr>
          <w:p w:rsidR="00E203BC" w:rsidRDefault="00E203BC" w:rsidP="00E203BC">
            <w:pPr>
              <w:jc w:val="right"/>
              <w:outlineLvl w:val="0"/>
              <w:rPr>
                <w:rFonts w:ascii="Calibri" w:hAnsi="Calibri"/>
              </w:rPr>
            </w:pPr>
            <w:r>
              <w:rPr>
                <w:rFonts w:ascii="Calibri" w:hAnsi="Calibri"/>
              </w:rPr>
              <w:t xml:space="preserve">-  </w:t>
            </w:r>
          </w:p>
        </w:tc>
        <w:tc>
          <w:tcPr>
            <w:tcW w:w="6634" w:type="dxa"/>
            <w:tcMar>
              <w:right w:w="57" w:type="dxa"/>
            </w:tcMar>
            <w:vAlign w:val="center"/>
          </w:tcPr>
          <w:p w:rsidR="00E203BC" w:rsidRDefault="00E203BC" w:rsidP="00E203BC">
            <w:r w:rsidRPr="00563314">
              <w:t>This is the residual budget for IT schemes which has not yet been allocated.</w:t>
            </w:r>
          </w:p>
        </w:tc>
      </w:tr>
      <w:tr w:rsidR="00E203BC" w:rsidRPr="004E1FF4" w:rsidTr="00BB289C">
        <w:trPr>
          <w:gridAfter w:val="1"/>
          <w:wAfter w:w="7" w:type="dxa"/>
          <w:cantSplit/>
        </w:trPr>
        <w:tc>
          <w:tcPr>
            <w:tcW w:w="2830" w:type="dxa"/>
            <w:tcBorders>
              <w:bottom w:val="nil"/>
              <w:right w:val="nil"/>
            </w:tcBorders>
            <w:tcMar>
              <w:right w:w="57" w:type="dxa"/>
            </w:tcMar>
            <w:vAlign w:val="center"/>
          </w:tcPr>
          <w:p w:rsidR="00E203BC" w:rsidRPr="004E1FF4" w:rsidRDefault="00E203BC" w:rsidP="00E203BC">
            <w:pPr>
              <w:rPr>
                <w:b/>
              </w:rPr>
            </w:pPr>
          </w:p>
        </w:tc>
        <w:tc>
          <w:tcPr>
            <w:tcW w:w="1247" w:type="dxa"/>
            <w:tcBorders>
              <w:top w:val="single" w:sz="4" w:space="0" w:color="auto"/>
              <w:left w:val="nil"/>
              <w:bottom w:val="single" w:sz="4" w:space="0" w:color="auto"/>
              <w:right w:val="nil"/>
            </w:tcBorders>
            <w:tcMar>
              <w:right w:w="113" w:type="dxa"/>
            </w:tcMar>
            <w:vAlign w:val="center"/>
          </w:tcPr>
          <w:p w:rsidR="00E203BC" w:rsidRPr="004E1FF4" w:rsidRDefault="00E203BC" w:rsidP="00E203BC">
            <w:pPr>
              <w:jc w:val="right"/>
              <w:rPr>
                <w:b/>
              </w:rPr>
            </w:pPr>
            <w:r>
              <w:rPr>
                <w:b/>
              </w:rPr>
              <w:t>224,244</w:t>
            </w:r>
          </w:p>
        </w:tc>
        <w:tc>
          <w:tcPr>
            <w:tcW w:w="1247" w:type="dxa"/>
            <w:tcBorders>
              <w:top w:val="single" w:sz="4" w:space="0" w:color="auto"/>
              <w:left w:val="nil"/>
              <w:bottom w:val="single" w:sz="4" w:space="0" w:color="auto"/>
              <w:right w:val="nil"/>
            </w:tcBorders>
            <w:tcMar>
              <w:right w:w="113" w:type="dxa"/>
            </w:tcMar>
            <w:vAlign w:val="center"/>
          </w:tcPr>
          <w:p w:rsidR="00E203BC" w:rsidRPr="004E1FF4" w:rsidRDefault="00E203BC" w:rsidP="00E203BC">
            <w:pPr>
              <w:jc w:val="right"/>
              <w:rPr>
                <w:b/>
              </w:rPr>
            </w:pPr>
            <w:r>
              <w:rPr>
                <w:b/>
              </w:rPr>
              <w:t>203,387</w:t>
            </w:r>
          </w:p>
        </w:tc>
        <w:tc>
          <w:tcPr>
            <w:tcW w:w="1247" w:type="dxa"/>
            <w:tcBorders>
              <w:top w:val="single" w:sz="4" w:space="0" w:color="auto"/>
              <w:left w:val="nil"/>
              <w:bottom w:val="single" w:sz="4" w:space="0" w:color="auto"/>
              <w:right w:val="nil"/>
            </w:tcBorders>
            <w:tcMar>
              <w:right w:w="113" w:type="dxa"/>
            </w:tcMar>
            <w:vAlign w:val="center"/>
          </w:tcPr>
          <w:p w:rsidR="00E203BC" w:rsidRPr="004E1FF4" w:rsidRDefault="00E203BC" w:rsidP="00E203BC">
            <w:pPr>
              <w:jc w:val="right"/>
              <w:rPr>
                <w:b/>
              </w:rPr>
            </w:pPr>
            <w:r>
              <w:rPr>
                <w:b/>
              </w:rPr>
              <w:t>203,387</w:t>
            </w:r>
          </w:p>
        </w:tc>
        <w:tc>
          <w:tcPr>
            <w:tcW w:w="1247" w:type="dxa"/>
            <w:tcBorders>
              <w:top w:val="single" w:sz="4" w:space="0" w:color="auto"/>
              <w:left w:val="nil"/>
              <w:bottom w:val="single" w:sz="4" w:space="0" w:color="auto"/>
              <w:right w:val="nil"/>
            </w:tcBorders>
            <w:tcMar>
              <w:right w:w="113" w:type="dxa"/>
            </w:tcMar>
            <w:vAlign w:val="center"/>
          </w:tcPr>
          <w:p w:rsidR="00E203BC" w:rsidRPr="004E1FF4" w:rsidRDefault="008C20B0" w:rsidP="00E203BC">
            <w:pPr>
              <w:jc w:val="right"/>
              <w:rPr>
                <w:b/>
              </w:rPr>
            </w:pPr>
            <w:r>
              <w:rPr>
                <w:b/>
              </w:rPr>
              <w:t>(</w:t>
            </w:r>
            <w:r w:rsidR="00E203BC">
              <w:rPr>
                <w:b/>
              </w:rPr>
              <w:t>21,236</w:t>
            </w:r>
            <w:r>
              <w:rPr>
                <w:b/>
              </w:rPr>
              <w:t>)</w:t>
            </w:r>
          </w:p>
        </w:tc>
        <w:tc>
          <w:tcPr>
            <w:tcW w:w="1247" w:type="dxa"/>
            <w:tcBorders>
              <w:top w:val="single" w:sz="4" w:space="0" w:color="auto"/>
              <w:left w:val="nil"/>
              <w:bottom w:val="single" w:sz="4" w:space="0" w:color="auto"/>
              <w:right w:val="nil"/>
            </w:tcBorders>
            <w:tcMar>
              <w:right w:w="113" w:type="dxa"/>
            </w:tcMar>
            <w:vAlign w:val="center"/>
          </w:tcPr>
          <w:p w:rsidR="00E203BC" w:rsidRPr="004E1FF4" w:rsidRDefault="00E203BC" w:rsidP="002F5E04">
            <w:pPr>
              <w:jc w:val="right"/>
              <w:rPr>
                <w:b/>
              </w:rPr>
            </w:pPr>
            <w:r>
              <w:rPr>
                <w:b/>
              </w:rPr>
              <w:t>379</w:t>
            </w:r>
          </w:p>
        </w:tc>
        <w:tc>
          <w:tcPr>
            <w:tcW w:w="6634" w:type="dxa"/>
            <w:tcBorders>
              <w:left w:val="nil"/>
              <w:bottom w:val="nil"/>
            </w:tcBorders>
            <w:tcMar>
              <w:right w:w="57" w:type="dxa"/>
            </w:tcMar>
            <w:vAlign w:val="center"/>
          </w:tcPr>
          <w:p w:rsidR="00E203BC" w:rsidRPr="004E1FF4" w:rsidRDefault="00E203BC" w:rsidP="00E203BC">
            <w:pPr>
              <w:rPr>
                <w:b/>
              </w:rPr>
            </w:pPr>
          </w:p>
        </w:tc>
      </w:tr>
      <w:tr w:rsidR="00E203BC" w:rsidTr="00D3673D">
        <w:trPr>
          <w:gridAfter w:val="1"/>
          <w:wAfter w:w="7" w:type="dxa"/>
          <w:cantSplit/>
        </w:trPr>
        <w:tc>
          <w:tcPr>
            <w:tcW w:w="2830" w:type="dxa"/>
            <w:tcBorders>
              <w:top w:val="nil"/>
              <w:bottom w:val="nil"/>
              <w:right w:val="nil"/>
            </w:tcBorders>
            <w:tcMar>
              <w:right w:w="57" w:type="dxa"/>
            </w:tcMar>
            <w:vAlign w:val="center"/>
          </w:tcPr>
          <w:p w:rsidR="00E203BC" w:rsidRPr="00226377" w:rsidRDefault="00E203BC" w:rsidP="00E203BC"/>
        </w:tc>
        <w:tc>
          <w:tcPr>
            <w:tcW w:w="1247" w:type="dxa"/>
            <w:tcBorders>
              <w:top w:val="single" w:sz="4" w:space="0" w:color="auto"/>
              <w:left w:val="nil"/>
              <w:bottom w:val="nil"/>
              <w:right w:val="nil"/>
            </w:tcBorders>
            <w:tcMar>
              <w:right w:w="113" w:type="dxa"/>
            </w:tcMar>
            <w:vAlign w:val="center"/>
          </w:tcPr>
          <w:p w:rsidR="00E203BC" w:rsidRDefault="00E203BC" w:rsidP="00E203BC">
            <w:pPr>
              <w:jc w:val="right"/>
            </w:pPr>
          </w:p>
        </w:tc>
        <w:tc>
          <w:tcPr>
            <w:tcW w:w="1247" w:type="dxa"/>
            <w:tcBorders>
              <w:top w:val="single" w:sz="4" w:space="0" w:color="auto"/>
              <w:left w:val="nil"/>
              <w:bottom w:val="nil"/>
              <w:right w:val="nil"/>
            </w:tcBorders>
            <w:tcMar>
              <w:right w:w="113" w:type="dxa"/>
            </w:tcMar>
            <w:vAlign w:val="center"/>
          </w:tcPr>
          <w:p w:rsidR="00E203BC" w:rsidRDefault="00E203BC" w:rsidP="00E203BC">
            <w:pPr>
              <w:jc w:val="right"/>
            </w:pPr>
          </w:p>
        </w:tc>
        <w:tc>
          <w:tcPr>
            <w:tcW w:w="1247" w:type="dxa"/>
            <w:tcBorders>
              <w:top w:val="single" w:sz="4" w:space="0" w:color="auto"/>
              <w:left w:val="nil"/>
              <w:bottom w:val="nil"/>
              <w:right w:val="nil"/>
            </w:tcBorders>
            <w:tcMar>
              <w:right w:w="113" w:type="dxa"/>
            </w:tcMar>
            <w:vAlign w:val="center"/>
          </w:tcPr>
          <w:p w:rsidR="00E203BC" w:rsidRDefault="00E203BC" w:rsidP="00E203BC">
            <w:pPr>
              <w:jc w:val="right"/>
            </w:pPr>
          </w:p>
        </w:tc>
        <w:tc>
          <w:tcPr>
            <w:tcW w:w="1247" w:type="dxa"/>
            <w:tcBorders>
              <w:top w:val="single" w:sz="4" w:space="0" w:color="auto"/>
              <w:left w:val="nil"/>
              <w:bottom w:val="nil"/>
              <w:right w:val="nil"/>
            </w:tcBorders>
            <w:tcMar>
              <w:right w:w="113" w:type="dxa"/>
            </w:tcMar>
            <w:vAlign w:val="center"/>
          </w:tcPr>
          <w:p w:rsidR="00E203BC" w:rsidRDefault="00E203BC" w:rsidP="00E203BC">
            <w:pPr>
              <w:jc w:val="right"/>
            </w:pPr>
          </w:p>
        </w:tc>
        <w:tc>
          <w:tcPr>
            <w:tcW w:w="1247" w:type="dxa"/>
            <w:tcBorders>
              <w:top w:val="single" w:sz="4" w:space="0" w:color="auto"/>
              <w:left w:val="nil"/>
              <w:bottom w:val="nil"/>
              <w:right w:val="nil"/>
            </w:tcBorders>
            <w:tcMar>
              <w:right w:w="113" w:type="dxa"/>
            </w:tcMar>
          </w:tcPr>
          <w:p w:rsidR="00E203BC" w:rsidRDefault="00E203BC" w:rsidP="00E203BC"/>
        </w:tc>
        <w:tc>
          <w:tcPr>
            <w:tcW w:w="6634" w:type="dxa"/>
            <w:tcBorders>
              <w:top w:val="nil"/>
              <w:left w:val="nil"/>
              <w:bottom w:val="nil"/>
            </w:tcBorders>
            <w:tcMar>
              <w:right w:w="57" w:type="dxa"/>
            </w:tcMar>
            <w:vAlign w:val="center"/>
          </w:tcPr>
          <w:p w:rsidR="00E203BC" w:rsidRDefault="00E203BC" w:rsidP="00E203BC"/>
        </w:tc>
      </w:tr>
      <w:tr w:rsidR="00E203BC" w:rsidTr="00A00292">
        <w:trPr>
          <w:gridAfter w:val="1"/>
          <w:wAfter w:w="7" w:type="dxa"/>
          <w:cantSplit/>
        </w:trPr>
        <w:tc>
          <w:tcPr>
            <w:tcW w:w="2830" w:type="dxa"/>
            <w:tcMar>
              <w:right w:w="57" w:type="dxa"/>
            </w:tcMar>
            <w:vAlign w:val="center"/>
          </w:tcPr>
          <w:p w:rsidR="00E203BC" w:rsidRPr="008B43F7" w:rsidRDefault="00E203BC" w:rsidP="00E203BC">
            <w:r w:rsidRPr="008B43F7">
              <w:t>Vehicles and Plant replacement programme</w:t>
            </w:r>
          </w:p>
        </w:tc>
        <w:tc>
          <w:tcPr>
            <w:tcW w:w="1247" w:type="dxa"/>
            <w:tcMar>
              <w:right w:w="113" w:type="dxa"/>
            </w:tcMar>
            <w:vAlign w:val="center"/>
          </w:tcPr>
          <w:p w:rsidR="00E203BC" w:rsidRPr="00831F4E" w:rsidRDefault="00E203BC" w:rsidP="00E203BC">
            <w:pPr>
              <w:jc w:val="right"/>
            </w:pPr>
            <w:r w:rsidRPr="00831F4E">
              <w:t xml:space="preserve">1,018,444 </w:t>
            </w:r>
          </w:p>
        </w:tc>
        <w:tc>
          <w:tcPr>
            <w:tcW w:w="1247" w:type="dxa"/>
            <w:tcMar>
              <w:right w:w="113" w:type="dxa"/>
            </w:tcMar>
            <w:vAlign w:val="center"/>
          </w:tcPr>
          <w:p w:rsidR="00E203BC" w:rsidRPr="002000B7" w:rsidRDefault="00E203BC" w:rsidP="00E203BC">
            <w:pPr>
              <w:jc w:val="right"/>
            </w:pPr>
            <w:r w:rsidRPr="002000B7">
              <w:t>539,717</w:t>
            </w:r>
          </w:p>
        </w:tc>
        <w:tc>
          <w:tcPr>
            <w:tcW w:w="1247" w:type="dxa"/>
            <w:tcBorders>
              <w:top w:val="single" w:sz="4" w:space="0" w:color="BFBFBF"/>
              <w:left w:val="single" w:sz="4" w:space="0" w:color="BFBFBF"/>
              <w:bottom w:val="single" w:sz="4" w:space="0" w:color="BFBFBF"/>
              <w:right w:val="single" w:sz="4" w:space="0" w:color="BFBFBF"/>
            </w:tcBorders>
            <w:shd w:val="clear" w:color="auto" w:fill="auto"/>
            <w:tcMar>
              <w:right w:w="113" w:type="dxa"/>
            </w:tcMar>
            <w:vAlign w:val="center"/>
          </w:tcPr>
          <w:p w:rsidR="00E203BC" w:rsidRPr="00F605CF" w:rsidRDefault="00630519" w:rsidP="00630519">
            <w:pPr>
              <w:jc w:val="right"/>
            </w:pPr>
            <w:r>
              <w:t>692</w:t>
            </w:r>
            <w:r w:rsidR="002000B7" w:rsidRPr="00F605CF">
              <w:t>,</w:t>
            </w:r>
            <w:r>
              <w:t>717</w:t>
            </w:r>
            <w:r w:rsidR="00E203BC" w:rsidRPr="00F605CF">
              <w:t xml:space="preserve"> </w:t>
            </w:r>
          </w:p>
        </w:tc>
        <w:tc>
          <w:tcPr>
            <w:tcW w:w="1247" w:type="dxa"/>
            <w:tcBorders>
              <w:top w:val="single" w:sz="4" w:space="0" w:color="BFBFBF"/>
              <w:left w:val="nil"/>
              <w:bottom w:val="single" w:sz="4" w:space="0" w:color="BFBFBF"/>
              <w:right w:val="single" w:sz="4" w:space="0" w:color="BFBFBF"/>
            </w:tcBorders>
            <w:shd w:val="clear" w:color="auto" w:fill="auto"/>
            <w:tcMar>
              <w:right w:w="113" w:type="dxa"/>
            </w:tcMar>
            <w:vAlign w:val="center"/>
          </w:tcPr>
          <w:p w:rsidR="00E203BC" w:rsidRPr="00F605CF" w:rsidRDefault="008C20B0" w:rsidP="00630519">
            <w:pPr>
              <w:jc w:val="right"/>
            </w:pPr>
            <w:r>
              <w:t>(</w:t>
            </w:r>
            <w:r w:rsidR="00630519">
              <w:t>325</w:t>
            </w:r>
            <w:r w:rsidR="002000B7" w:rsidRPr="00F605CF">
              <w:t>,</w:t>
            </w:r>
            <w:r w:rsidR="00630519">
              <w:t>727</w:t>
            </w:r>
            <w:r>
              <w:t>)</w:t>
            </w:r>
          </w:p>
        </w:tc>
        <w:tc>
          <w:tcPr>
            <w:tcW w:w="1247" w:type="dxa"/>
            <w:tcMar>
              <w:right w:w="113" w:type="dxa"/>
            </w:tcMar>
            <w:vAlign w:val="center"/>
          </w:tcPr>
          <w:p w:rsidR="00E203BC" w:rsidRPr="00F605CF" w:rsidRDefault="00E203BC" w:rsidP="00F605CF">
            <w:pPr>
              <w:jc w:val="right"/>
            </w:pPr>
            <w:r w:rsidRPr="00F605CF">
              <w:t xml:space="preserve">-  </w:t>
            </w:r>
          </w:p>
        </w:tc>
        <w:tc>
          <w:tcPr>
            <w:tcW w:w="6634" w:type="dxa"/>
            <w:tcMar>
              <w:right w:w="57" w:type="dxa"/>
            </w:tcMar>
            <w:vAlign w:val="center"/>
          </w:tcPr>
          <w:p w:rsidR="00E203BC" w:rsidRPr="009E13E8" w:rsidRDefault="00630519" w:rsidP="00F605CF">
            <w:r w:rsidRPr="00630519">
              <w:t>Delivery has commenced on vehicles ordered in spring.  A procurement exercise will commence in November for remaining vehicles.  Some vehicles will take longer to procure, meaning the costs will slip to Q1 of next financial year.</w:t>
            </w:r>
          </w:p>
        </w:tc>
      </w:tr>
      <w:tr w:rsidR="00E203BC" w:rsidTr="0063158A">
        <w:trPr>
          <w:gridAfter w:val="1"/>
          <w:wAfter w:w="7" w:type="dxa"/>
          <w:cantSplit/>
        </w:trPr>
        <w:tc>
          <w:tcPr>
            <w:tcW w:w="2830" w:type="dxa"/>
            <w:tcMar>
              <w:right w:w="57" w:type="dxa"/>
            </w:tcMar>
            <w:vAlign w:val="center"/>
          </w:tcPr>
          <w:p w:rsidR="00E203BC" w:rsidRPr="008B43F7" w:rsidRDefault="00E203BC" w:rsidP="00E203BC">
            <w:r w:rsidRPr="008B43F7">
              <w:t>Corporate Buildings - Banqueting Suite</w:t>
            </w:r>
          </w:p>
        </w:tc>
        <w:tc>
          <w:tcPr>
            <w:tcW w:w="1247" w:type="dxa"/>
            <w:tcMar>
              <w:right w:w="113" w:type="dxa"/>
            </w:tcMar>
            <w:vAlign w:val="center"/>
          </w:tcPr>
          <w:p w:rsidR="00E203BC" w:rsidRPr="00831F4E" w:rsidRDefault="00E203BC" w:rsidP="00E203BC">
            <w:pPr>
              <w:jc w:val="right"/>
            </w:pPr>
            <w:r w:rsidRPr="00831F4E">
              <w:t xml:space="preserve">80,000 </w:t>
            </w:r>
          </w:p>
        </w:tc>
        <w:tc>
          <w:tcPr>
            <w:tcW w:w="1247" w:type="dxa"/>
            <w:tcMar>
              <w:right w:w="113" w:type="dxa"/>
            </w:tcMar>
            <w:vAlign w:val="center"/>
          </w:tcPr>
          <w:p w:rsidR="00E203BC" w:rsidRDefault="00E203BC" w:rsidP="00E203BC">
            <w:pPr>
              <w:jc w:val="right"/>
            </w:pPr>
            <w:r>
              <w:t>62,242</w:t>
            </w:r>
          </w:p>
        </w:tc>
        <w:tc>
          <w:tcPr>
            <w:tcW w:w="1247" w:type="dxa"/>
            <w:tcBorders>
              <w:top w:val="nil"/>
              <w:left w:val="single" w:sz="4" w:space="0" w:color="BFBFBF"/>
              <w:bottom w:val="single" w:sz="4" w:space="0" w:color="BFBFBF"/>
              <w:right w:val="single" w:sz="4" w:space="0" w:color="BFBFBF"/>
            </w:tcBorders>
            <w:shd w:val="clear" w:color="auto" w:fill="auto"/>
            <w:tcMar>
              <w:right w:w="113" w:type="dxa"/>
            </w:tcMar>
            <w:vAlign w:val="center"/>
          </w:tcPr>
          <w:p w:rsidR="00E203BC" w:rsidRPr="00F605CF" w:rsidRDefault="00E203BC" w:rsidP="00F605CF">
            <w:pPr>
              <w:jc w:val="right"/>
            </w:pPr>
            <w:r w:rsidRPr="00F605CF">
              <w:t xml:space="preserve">85,000 </w:t>
            </w:r>
          </w:p>
        </w:tc>
        <w:tc>
          <w:tcPr>
            <w:tcW w:w="1247" w:type="dxa"/>
            <w:tcBorders>
              <w:top w:val="nil"/>
              <w:left w:val="nil"/>
              <w:bottom w:val="single" w:sz="4" w:space="0" w:color="BFBFBF"/>
              <w:right w:val="single" w:sz="4" w:space="0" w:color="BFBFBF"/>
            </w:tcBorders>
            <w:shd w:val="clear" w:color="auto" w:fill="auto"/>
            <w:tcMar>
              <w:right w:w="113" w:type="dxa"/>
            </w:tcMar>
            <w:vAlign w:val="center"/>
          </w:tcPr>
          <w:p w:rsidR="00E203BC" w:rsidRPr="00F605CF" w:rsidRDefault="00E203BC" w:rsidP="00F605CF">
            <w:pPr>
              <w:jc w:val="right"/>
            </w:pPr>
            <w:r w:rsidRPr="00F605CF">
              <w:t xml:space="preserve">-  </w:t>
            </w:r>
          </w:p>
        </w:tc>
        <w:tc>
          <w:tcPr>
            <w:tcW w:w="1247" w:type="dxa"/>
            <w:tcMar>
              <w:right w:w="113" w:type="dxa"/>
            </w:tcMar>
            <w:vAlign w:val="center"/>
          </w:tcPr>
          <w:p w:rsidR="00E203BC" w:rsidRPr="00F605CF" w:rsidRDefault="00E203BC" w:rsidP="00F605CF">
            <w:pPr>
              <w:jc w:val="right"/>
            </w:pPr>
            <w:r w:rsidRPr="00F605CF">
              <w:t>5,000</w:t>
            </w:r>
          </w:p>
        </w:tc>
        <w:tc>
          <w:tcPr>
            <w:tcW w:w="6634" w:type="dxa"/>
            <w:tcMar>
              <w:right w:w="57" w:type="dxa"/>
            </w:tcMar>
            <w:vAlign w:val="center"/>
          </w:tcPr>
          <w:p w:rsidR="00E203BC" w:rsidRPr="009E13E8" w:rsidRDefault="00E203BC" w:rsidP="00E203BC">
            <w:r w:rsidRPr="009E13E8">
              <w:t>The first phase of works are complete.  The cost is expected to be £5k higher than budgeted due to asbestos removal</w:t>
            </w:r>
            <w:r>
              <w:t>.</w:t>
            </w:r>
          </w:p>
        </w:tc>
      </w:tr>
      <w:tr w:rsidR="00E203BC" w:rsidTr="00D028C5">
        <w:trPr>
          <w:gridAfter w:val="1"/>
          <w:wAfter w:w="7" w:type="dxa"/>
          <w:cantSplit/>
        </w:trPr>
        <w:tc>
          <w:tcPr>
            <w:tcW w:w="2830" w:type="dxa"/>
            <w:tcMar>
              <w:right w:w="57" w:type="dxa"/>
            </w:tcMar>
            <w:vAlign w:val="center"/>
          </w:tcPr>
          <w:p w:rsidR="00E203BC" w:rsidRPr="008B43F7" w:rsidRDefault="00E203BC" w:rsidP="00E203BC">
            <w:r w:rsidRPr="008B43F7">
              <w:t>Corporate Buildings - Civic Centre</w:t>
            </w:r>
          </w:p>
        </w:tc>
        <w:tc>
          <w:tcPr>
            <w:tcW w:w="1247" w:type="dxa"/>
            <w:tcMar>
              <w:right w:w="113" w:type="dxa"/>
            </w:tcMar>
            <w:vAlign w:val="center"/>
          </w:tcPr>
          <w:p w:rsidR="00E203BC" w:rsidRPr="00831F4E" w:rsidRDefault="00E203BC" w:rsidP="00E203BC">
            <w:pPr>
              <w:jc w:val="right"/>
            </w:pPr>
            <w:r w:rsidRPr="00831F4E">
              <w:t xml:space="preserve">200,000 </w:t>
            </w:r>
          </w:p>
        </w:tc>
        <w:tc>
          <w:tcPr>
            <w:tcW w:w="1247" w:type="dxa"/>
            <w:tcMar>
              <w:right w:w="113" w:type="dxa"/>
            </w:tcMar>
            <w:vAlign w:val="center"/>
          </w:tcPr>
          <w:p w:rsidR="00E203BC" w:rsidRDefault="00E203BC" w:rsidP="00E203BC">
            <w:pPr>
              <w:jc w:val="right"/>
            </w:pPr>
            <w:r>
              <w:t>-</w:t>
            </w:r>
          </w:p>
        </w:tc>
        <w:tc>
          <w:tcPr>
            <w:tcW w:w="1247" w:type="dxa"/>
            <w:tcBorders>
              <w:top w:val="nil"/>
              <w:left w:val="single" w:sz="4" w:space="0" w:color="BFBFBF"/>
              <w:bottom w:val="single" w:sz="4" w:space="0" w:color="BFBFBF"/>
              <w:right w:val="single" w:sz="4" w:space="0" w:color="BFBFBF"/>
            </w:tcBorders>
            <w:shd w:val="clear" w:color="auto" w:fill="auto"/>
            <w:tcMar>
              <w:right w:w="113" w:type="dxa"/>
            </w:tcMar>
            <w:vAlign w:val="center"/>
          </w:tcPr>
          <w:p w:rsidR="00E203BC" w:rsidRPr="00F605CF" w:rsidRDefault="00E203BC" w:rsidP="00F605CF">
            <w:pPr>
              <w:jc w:val="right"/>
            </w:pPr>
            <w:r w:rsidRPr="00F605CF">
              <w:t xml:space="preserve">100,000 </w:t>
            </w:r>
          </w:p>
        </w:tc>
        <w:tc>
          <w:tcPr>
            <w:tcW w:w="1247" w:type="dxa"/>
            <w:tcBorders>
              <w:top w:val="nil"/>
              <w:left w:val="nil"/>
              <w:bottom w:val="single" w:sz="4" w:space="0" w:color="BFBFBF"/>
              <w:right w:val="single" w:sz="4" w:space="0" w:color="BFBFBF"/>
            </w:tcBorders>
            <w:shd w:val="clear" w:color="auto" w:fill="auto"/>
            <w:tcMar>
              <w:right w:w="113" w:type="dxa"/>
            </w:tcMar>
            <w:vAlign w:val="center"/>
          </w:tcPr>
          <w:p w:rsidR="00E203BC" w:rsidRPr="00F605CF" w:rsidRDefault="008C20B0" w:rsidP="00F605CF">
            <w:pPr>
              <w:jc w:val="right"/>
            </w:pPr>
            <w:r>
              <w:t>(</w:t>
            </w:r>
            <w:r w:rsidR="00E203BC" w:rsidRPr="00F605CF">
              <w:t>100,000</w:t>
            </w:r>
            <w:r>
              <w:t>)</w:t>
            </w:r>
            <w:r w:rsidR="00E203BC" w:rsidRPr="00F605CF">
              <w:t xml:space="preserve"> </w:t>
            </w:r>
          </w:p>
        </w:tc>
        <w:tc>
          <w:tcPr>
            <w:tcW w:w="1247" w:type="dxa"/>
            <w:tcMar>
              <w:right w:w="113" w:type="dxa"/>
            </w:tcMar>
            <w:vAlign w:val="center"/>
          </w:tcPr>
          <w:p w:rsidR="00E203BC" w:rsidRPr="00F605CF" w:rsidRDefault="00E203BC" w:rsidP="00F605CF">
            <w:pPr>
              <w:jc w:val="right"/>
            </w:pPr>
            <w:r w:rsidRPr="00F605CF">
              <w:t xml:space="preserve">-  </w:t>
            </w:r>
          </w:p>
        </w:tc>
        <w:tc>
          <w:tcPr>
            <w:tcW w:w="6634" w:type="dxa"/>
            <w:tcMar>
              <w:right w:w="57" w:type="dxa"/>
            </w:tcMar>
            <w:vAlign w:val="center"/>
          </w:tcPr>
          <w:p w:rsidR="00E203BC" w:rsidRPr="009E13E8" w:rsidRDefault="00E203BC" w:rsidP="00E203BC">
            <w:r w:rsidRPr="009E13E8">
              <w:t>This scheme is dependent on negotiations with a potential occupier of the vacant floor spaces within the civic centre.  It is expected that key points can be agreed by December so that work can start in Q4, but it is unlikely that the full budget will be spent before year-end.</w:t>
            </w:r>
          </w:p>
        </w:tc>
      </w:tr>
      <w:tr w:rsidR="00E203BC" w:rsidTr="00D028C5">
        <w:trPr>
          <w:gridAfter w:val="1"/>
          <w:wAfter w:w="7" w:type="dxa"/>
          <w:cantSplit/>
        </w:trPr>
        <w:tc>
          <w:tcPr>
            <w:tcW w:w="2830" w:type="dxa"/>
            <w:tcMar>
              <w:right w:w="57" w:type="dxa"/>
            </w:tcMar>
            <w:vAlign w:val="center"/>
          </w:tcPr>
          <w:p w:rsidR="00E203BC" w:rsidRPr="008B43F7" w:rsidRDefault="00E203BC" w:rsidP="00E203BC">
            <w:r w:rsidRPr="008B43F7">
              <w:t>Corporate Buildings - Depot</w:t>
            </w:r>
          </w:p>
        </w:tc>
        <w:tc>
          <w:tcPr>
            <w:tcW w:w="1247" w:type="dxa"/>
            <w:tcMar>
              <w:right w:w="113" w:type="dxa"/>
            </w:tcMar>
            <w:vAlign w:val="center"/>
          </w:tcPr>
          <w:p w:rsidR="00E203BC" w:rsidRPr="00831F4E" w:rsidRDefault="00E203BC" w:rsidP="00E203BC">
            <w:pPr>
              <w:jc w:val="right"/>
            </w:pPr>
            <w:r w:rsidRPr="00831F4E">
              <w:t xml:space="preserve">70,000 </w:t>
            </w:r>
          </w:p>
        </w:tc>
        <w:tc>
          <w:tcPr>
            <w:tcW w:w="1247" w:type="dxa"/>
            <w:tcMar>
              <w:right w:w="113" w:type="dxa"/>
            </w:tcMar>
            <w:vAlign w:val="center"/>
          </w:tcPr>
          <w:p w:rsidR="00E203BC" w:rsidRDefault="00E203BC" w:rsidP="00E203BC">
            <w:pPr>
              <w:jc w:val="right"/>
            </w:pPr>
            <w:r>
              <w:t>-</w:t>
            </w:r>
          </w:p>
        </w:tc>
        <w:tc>
          <w:tcPr>
            <w:tcW w:w="1247" w:type="dxa"/>
            <w:tcBorders>
              <w:top w:val="nil"/>
              <w:left w:val="single" w:sz="4" w:space="0" w:color="BFBFBF"/>
              <w:bottom w:val="single" w:sz="4" w:space="0" w:color="BFBFBF"/>
              <w:right w:val="single" w:sz="4" w:space="0" w:color="BFBFBF"/>
            </w:tcBorders>
            <w:shd w:val="clear" w:color="auto" w:fill="auto"/>
            <w:tcMar>
              <w:right w:w="113" w:type="dxa"/>
            </w:tcMar>
            <w:vAlign w:val="center"/>
          </w:tcPr>
          <w:p w:rsidR="00E203BC" w:rsidRPr="00F605CF" w:rsidRDefault="00E203BC" w:rsidP="00F605CF">
            <w:pPr>
              <w:jc w:val="right"/>
            </w:pPr>
            <w:r w:rsidRPr="00F605CF">
              <w:t xml:space="preserve">70,000 </w:t>
            </w:r>
          </w:p>
        </w:tc>
        <w:tc>
          <w:tcPr>
            <w:tcW w:w="1247" w:type="dxa"/>
            <w:tcBorders>
              <w:top w:val="nil"/>
              <w:left w:val="nil"/>
              <w:bottom w:val="single" w:sz="4" w:space="0" w:color="BFBFBF"/>
              <w:right w:val="single" w:sz="4" w:space="0" w:color="BFBFBF"/>
            </w:tcBorders>
            <w:shd w:val="clear" w:color="auto" w:fill="auto"/>
            <w:tcMar>
              <w:right w:w="113" w:type="dxa"/>
            </w:tcMar>
            <w:vAlign w:val="center"/>
          </w:tcPr>
          <w:p w:rsidR="00E203BC" w:rsidRPr="00F605CF" w:rsidRDefault="00E203BC" w:rsidP="00F605CF">
            <w:pPr>
              <w:jc w:val="right"/>
            </w:pPr>
            <w:r w:rsidRPr="00F605CF">
              <w:t xml:space="preserve">-  </w:t>
            </w:r>
          </w:p>
        </w:tc>
        <w:tc>
          <w:tcPr>
            <w:tcW w:w="1247" w:type="dxa"/>
            <w:tcMar>
              <w:right w:w="113" w:type="dxa"/>
            </w:tcMar>
            <w:vAlign w:val="center"/>
          </w:tcPr>
          <w:p w:rsidR="00E203BC" w:rsidRPr="00F605CF" w:rsidRDefault="00E203BC" w:rsidP="00F605CF">
            <w:pPr>
              <w:jc w:val="right"/>
            </w:pPr>
            <w:r w:rsidRPr="00F605CF">
              <w:t xml:space="preserve">-  </w:t>
            </w:r>
          </w:p>
        </w:tc>
        <w:tc>
          <w:tcPr>
            <w:tcW w:w="6634" w:type="dxa"/>
            <w:tcMar>
              <w:right w:w="57" w:type="dxa"/>
            </w:tcMar>
            <w:vAlign w:val="center"/>
          </w:tcPr>
          <w:p w:rsidR="00E203BC" w:rsidRPr="009E13E8" w:rsidRDefault="00E203BC" w:rsidP="00E203BC">
            <w:r w:rsidRPr="00CC0B4C">
              <w:t>Work is planned for Q4</w:t>
            </w:r>
            <w:r>
              <w:t xml:space="preserve"> to enable more efficient use of the current facilities.  This includes expanding the vehicle wash and refurbishment of the facilities to take account of the transformation work involving the Neighbourhood Services and Community Engagement teams.</w:t>
            </w:r>
          </w:p>
        </w:tc>
      </w:tr>
      <w:tr w:rsidR="00E203BC" w:rsidTr="00D028C5">
        <w:trPr>
          <w:gridAfter w:val="1"/>
          <w:wAfter w:w="7" w:type="dxa"/>
          <w:cantSplit/>
        </w:trPr>
        <w:tc>
          <w:tcPr>
            <w:tcW w:w="2830" w:type="dxa"/>
            <w:tcMar>
              <w:right w:w="57" w:type="dxa"/>
            </w:tcMar>
            <w:vAlign w:val="center"/>
          </w:tcPr>
          <w:p w:rsidR="00E203BC" w:rsidRPr="008B43F7" w:rsidRDefault="00E203BC" w:rsidP="00E203BC">
            <w:r w:rsidRPr="008B43F7">
              <w:t>Corporate Buildings - Other</w:t>
            </w:r>
          </w:p>
        </w:tc>
        <w:tc>
          <w:tcPr>
            <w:tcW w:w="1247" w:type="dxa"/>
            <w:tcMar>
              <w:right w:w="113" w:type="dxa"/>
            </w:tcMar>
            <w:vAlign w:val="center"/>
          </w:tcPr>
          <w:p w:rsidR="00E203BC" w:rsidRPr="00831F4E" w:rsidRDefault="00E203BC" w:rsidP="00E203BC">
            <w:pPr>
              <w:jc w:val="right"/>
            </w:pPr>
            <w:r w:rsidRPr="00831F4E">
              <w:t xml:space="preserve">50,000 </w:t>
            </w:r>
          </w:p>
        </w:tc>
        <w:tc>
          <w:tcPr>
            <w:tcW w:w="1247" w:type="dxa"/>
            <w:tcMar>
              <w:right w:w="113" w:type="dxa"/>
            </w:tcMar>
            <w:vAlign w:val="center"/>
          </w:tcPr>
          <w:p w:rsidR="00E203BC" w:rsidRDefault="00E203BC" w:rsidP="00E203BC">
            <w:pPr>
              <w:jc w:val="right"/>
            </w:pPr>
            <w:r>
              <w:t>-</w:t>
            </w:r>
          </w:p>
        </w:tc>
        <w:tc>
          <w:tcPr>
            <w:tcW w:w="1247" w:type="dxa"/>
            <w:tcBorders>
              <w:top w:val="nil"/>
              <w:left w:val="single" w:sz="4" w:space="0" w:color="BFBFBF"/>
              <w:bottom w:val="single" w:sz="4" w:space="0" w:color="BFBFBF"/>
              <w:right w:val="single" w:sz="4" w:space="0" w:color="BFBFBF"/>
            </w:tcBorders>
            <w:shd w:val="clear" w:color="auto" w:fill="auto"/>
            <w:tcMar>
              <w:right w:w="113" w:type="dxa"/>
            </w:tcMar>
            <w:vAlign w:val="center"/>
          </w:tcPr>
          <w:p w:rsidR="00E203BC" w:rsidRPr="00F605CF" w:rsidRDefault="00E203BC" w:rsidP="00F605CF">
            <w:pPr>
              <w:jc w:val="right"/>
            </w:pPr>
            <w:r w:rsidRPr="00F605CF">
              <w:t xml:space="preserve">50,000 </w:t>
            </w:r>
          </w:p>
        </w:tc>
        <w:tc>
          <w:tcPr>
            <w:tcW w:w="1247" w:type="dxa"/>
            <w:tcBorders>
              <w:top w:val="nil"/>
              <w:left w:val="nil"/>
              <w:bottom w:val="single" w:sz="4" w:space="0" w:color="BFBFBF"/>
              <w:right w:val="single" w:sz="4" w:space="0" w:color="BFBFBF"/>
            </w:tcBorders>
            <w:shd w:val="clear" w:color="auto" w:fill="auto"/>
            <w:tcMar>
              <w:right w:w="113" w:type="dxa"/>
            </w:tcMar>
            <w:vAlign w:val="center"/>
          </w:tcPr>
          <w:p w:rsidR="00E203BC" w:rsidRPr="00F605CF" w:rsidRDefault="00E203BC" w:rsidP="00F605CF">
            <w:pPr>
              <w:jc w:val="right"/>
            </w:pPr>
            <w:r w:rsidRPr="00F605CF">
              <w:t xml:space="preserve">-  </w:t>
            </w:r>
          </w:p>
        </w:tc>
        <w:tc>
          <w:tcPr>
            <w:tcW w:w="1247" w:type="dxa"/>
            <w:tcMar>
              <w:right w:w="113" w:type="dxa"/>
            </w:tcMar>
            <w:vAlign w:val="center"/>
          </w:tcPr>
          <w:p w:rsidR="00E203BC" w:rsidRPr="00F605CF" w:rsidRDefault="00E203BC" w:rsidP="00F605CF">
            <w:pPr>
              <w:jc w:val="right"/>
            </w:pPr>
            <w:r w:rsidRPr="00F605CF">
              <w:t xml:space="preserve">-  </w:t>
            </w:r>
          </w:p>
        </w:tc>
        <w:tc>
          <w:tcPr>
            <w:tcW w:w="6634" w:type="dxa"/>
            <w:tcMar>
              <w:right w:w="57" w:type="dxa"/>
            </w:tcMar>
            <w:vAlign w:val="center"/>
          </w:tcPr>
          <w:p w:rsidR="00E203BC" w:rsidRPr="009E13E8" w:rsidRDefault="00E203BC" w:rsidP="00E203BC">
            <w:r w:rsidRPr="009E13E8">
              <w:t>Installation of electric vehicle charging points at corporate buildings is being considered.</w:t>
            </w:r>
          </w:p>
        </w:tc>
      </w:tr>
      <w:tr w:rsidR="00E203BC" w:rsidTr="00D028C5">
        <w:trPr>
          <w:gridAfter w:val="1"/>
          <w:wAfter w:w="7" w:type="dxa"/>
          <w:cantSplit/>
        </w:trPr>
        <w:tc>
          <w:tcPr>
            <w:tcW w:w="2830" w:type="dxa"/>
            <w:tcMar>
              <w:right w:w="57" w:type="dxa"/>
            </w:tcMar>
            <w:vAlign w:val="center"/>
          </w:tcPr>
          <w:p w:rsidR="00E203BC" w:rsidRDefault="00E203BC" w:rsidP="00E203BC">
            <w:r w:rsidRPr="008B43F7">
              <w:t>Investment Property</w:t>
            </w:r>
          </w:p>
        </w:tc>
        <w:tc>
          <w:tcPr>
            <w:tcW w:w="1247" w:type="dxa"/>
            <w:tcMar>
              <w:right w:w="113" w:type="dxa"/>
            </w:tcMar>
            <w:vAlign w:val="center"/>
          </w:tcPr>
          <w:p w:rsidR="00E203BC" w:rsidRDefault="00E203BC" w:rsidP="00E203BC">
            <w:pPr>
              <w:jc w:val="right"/>
            </w:pPr>
            <w:r w:rsidRPr="00831F4E">
              <w:t xml:space="preserve">2,500,000 </w:t>
            </w:r>
          </w:p>
        </w:tc>
        <w:tc>
          <w:tcPr>
            <w:tcW w:w="1247" w:type="dxa"/>
            <w:tcMar>
              <w:right w:w="113" w:type="dxa"/>
            </w:tcMar>
            <w:vAlign w:val="center"/>
          </w:tcPr>
          <w:p w:rsidR="00E203BC" w:rsidRDefault="00E203BC" w:rsidP="00E203BC">
            <w:pPr>
              <w:jc w:val="right"/>
            </w:pPr>
            <w:r>
              <w:t>-</w:t>
            </w:r>
          </w:p>
        </w:tc>
        <w:tc>
          <w:tcPr>
            <w:tcW w:w="1247" w:type="dxa"/>
            <w:tcBorders>
              <w:top w:val="nil"/>
              <w:left w:val="single" w:sz="4" w:space="0" w:color="BFBFBF"/>
              <w:bottom w:val="single" w:sz="4" w:space="0" w:color="BFBFBF"/>
              <w:right w:val="single" w:sz="4" w:space="0" w:color="BFBFBF"/>
            </w:tcBorders>
            <w:shd w:val="clear" w:color="auto" w:fill="auto"/>
            <w:tcMar>
              <w:right w:w="113" w:type="dxa"/>
            </w:tcMar>
            <w:vAlign w:val="center"/>
          </w:tcPr>
          <w:p w:rsidR="00E203BC" w:rsidRPr="00F605CF" w:rsidRDefault="00E203BC" w:rsidP="00F605CF">
            <w:pPr>
              <w:jc w:val="right"/>
            </w:pPr>
            <w:r w:rsidRPr="00F605CF">
              <w:t xml:space="preserve">2,500,000 </w:t>
            </w:r>
          </w:p>
        </w:tc>
        <w:tc>
          <w:tcPr>
            <w:tcW w:w="1247" w:type="dxa"/>
            <w:tcBorders>
              <w:top w:val="nil"/>
              <w:left w:val="nil"/>
              <w:bottom w:val="single" w:sz="4" w:space="0" w:color="BFBFBF"/>
              <w:right w:val="single" w:sz="4" w:space="0" w:color="BFBFBF"/>
            </w:tcBorders>
            <w:shd w:val="clear" w:color="auto" w:fill="auto"/>
            <w:tcMar>
              <w:right w:w="113" w:type="dxa"/>
            </w:tcMar>
            <w:vAlign w:val="center"/>
          </w:tcPr>
          <w:p w:rsidR="00E203BC" w:rsidRPr="00F605CF" w:rsidRDefault="00E203BC" w:rsidP="00F605CF">
            <w:pPr>
              <w:jc w:val="right"/>
            </w:pPr>
            <w:r w:rsidRPr="00F605CF">
              <w:t xml:space="preserve">-  </w:t>
            </w:r>
          </w:p>
        </w:tc>
        <w:tc>
          <w:tcPr>
            <w:tcW w:w="1247" w:type="dxa"/>
            <w:tcMar>
              <w:right w:w="113" w:type="dxa"/>
            </w:tcMar>
            <w:vAlign w:val="center"/>
          </w:tcPr>
          <w:p w:rsidR="00E203BC" w:rsidRPr="00F605CF" w:rsidRDefault="00E203BC" w:rsidP="00F605CF">
            <w:pPr>
              <w:jc w:val="right"/>
            </w:pPr>
            <w:r w:rsidRPr="00F605CF">
              <w:t xml:space="preserve">-  </w:t>
            </w:r>
          </w:p>
        </w:tc>
        <w:tc>
          <w:tcPr>
            <w:tcW w:w="6634" w:type="dxa"/>
            <w:tcMar>
              <w:right w:w="57" w:type="dxa"/>
            </w:tcMar>
            <w:vAlign w:val="center"/>
          </w:tcPr>
          <w:p w:rsidR="00E203BC" w:rsidRDefault="00E203BC" w:rsidP="001F7B4C">
            <w:r w:rsidRPr="009E13E8">
              <w:t>The total budget for this scheme, which is funded by the Borough Investment Reserve, is £4.6m.  This capital programme has a profile of £2.5m in 18-19.  The Council's advisors, LSH, are actively investigating potential purchases</w:t>
            </w:r>
            <w:r w:rsidR="001559B6">
              <w:t xml:space="preserve"> but </w:t>
            </w:r>
            <w:r w:rsidR="001F7B4C">
              <w:t xml:space="preserve">expenditure </w:t>
            </w:r>
            <w:r w:rsidR="001559B6">
              <w:t>is dependent on identifying potential sites before the end of the financi</w:t>
            </w:r>
            <w:bookmarkStart w:id="0" w:name="_GoBack"/>
            <w:bookmarkEnd w:id="0"/>
            <w:r w:rsidR="001559B6">
              <w:t>al year</w:t>
            </w:r>
            <w:r w:rsidRPr="009E13E8">
              <w:t>.</w:t>
            </w:r>
          </w:p>
        </w:tc>
      </w:tr>
      <w:tr w:rsidR="00E203BC" w:rsidRPr="00252766" w:rsidTr="00D3673D">
        <w:trPr>
          <w:cantSplit/>
        </w:trPr>
        <w:tc>
          <w:tcPr>
            <w:tcW w:w="15706" w:type="dxa"/>
            <w:gridSpan w:val="8"/>
            <w:tcBorders>
              <w:top w:val="single" w:sz="4" w:space="0" w:color="BFBFBF" w:themeColor="background1" w:themeShade="BF"/>
              <w:bottom w:val="nil"/>
            </w:tcBorders>
            <w:tcMar>
              <w:right w:w="113" w:type="dxa"/>
            </w:tcMar>
            <w:vAlign w:val="center"/>
          </w:tcPr>
          <w:p w:rsidR="00E203BC" w:rsidRPr="00252766" w:rsidRDefault="00E203BC" w:rsidP="00E203BC">
            <w:pPr>
              <w:rPr>
                <w:u w:val="single"/>
              </w:rPr>
            </w:pPr>
          </w:p>
          <w:p w:rsidR="00E203BC" w:rsidRPr="00252766" w:rsidRDefault="00E203BC" w:rsidP="00E203BC">
            <w:pPr>
              <w:pStyle w:val="Heading1"/>
              <w:outlineLvl w:val="0"/>
            </w:pPr>
            <w:r>
              <w:t>Additional Funded Schemes</w:t>
            </w:r>
          </w:p>
        </w:tc>
      </w:tr>
      <w:tr w:rsidR="00E203BC" w:rsidTr="00B2582A">
        <w:trPr>
          <w:gridAfter w:val="1"/>
          <w:wAfter w:w="7" w:type="dxa"/>
          <w:cantSplit/>
        </w:trPr>
        <w:tc>
          <w:tcPr>
            <w:tcW w:w="2830" w:type="dxa"/>
            <w:tcMar>
              <w:right w:w="57" w:type="dxa"/>
            </w:tcMar>
            <w:vAlign w:val="center"/>
          </w:tcPr>
          <w:p w:rsidR="00E203BC" w:rsidRPr="001A1931" w:rsidRDefault="00E203BC" w:rsidP="00E203BC">
            <w:r w:rsidRPr="001A1931">
              <w:t>Lighting for gateway features</w:t>
            </w:r>
          </w:p>
        </w:tc>
        <w:tc>
          <w:tcPr>
            <w:tcW w:w="1247" w:type="dxa"/>
            <w:tcMar>
              <w:right w:w="113" w:type="dxa"/>
            </w:tcMar>
            <w:vAlign w:val="center"/>
          </w:tcPr>
          <w:p w:rsidR="00E203BC" w:rsidRDefault="00E203BC" w:rsidP="00E203BC">
            <w:pPr>
              <w:jc w:val="right"/>
            </w:pPr>
            <w:r>
              <w:t>25,000</w:t>
            </w:r>
          </w:p>
        </w:tc>
        <w:tc>
          <w:tcPr>
            <w:tcW w:w="1247" w:type="dxa"/>
            <w:tcMar>
              <w:right w:w="113" w:type="dxa"/>
            </w:tcMar>
            <w:vAlign w:val="center"/>
          </w:tcPr>
          <w:p w:rsidR="00E203BC" w:rsidRDefault="00E203BC" w:rsidP="00E203BC">
            <w:pPr>
              <w:jc w:val="right"/>
            </w:pPr>
            <w:r>
              <w:t>702</w:t>
            </w:r>
          </w:p>
        </w:tc>
        <w:tc>
          <w:tcPr>
            <w:tcW w:w="1247" w:type="dxa"/>
            <w:tcMar>
              <w:right w:w="113" w:type="dxa"/>
            </w:tcMar>
            <w:vAlign w:val="center"/>
          </w:tcPr>
          <w:p w:rsidR="00E203BC" w:rsidRDefault="00E203BC" w:rsidP="00E203BC">
            <w:pPr>
              <w:jc w:val="right"/>
            </w:pPr>
            <w:r>
              <w:t>25,000</w:t>
            </w:r>
          </w:p>
        </w:tc>
        <w:tc>
          <w:tcPr>
            <w:tcW w:w="1247" w:type="dxa"/>
            <w:tcMar>
              <w:right w:w="113" w:type="dxa"/>
            </w:tcMar>
            <w:vAlign w:val="center"/>
          </w:tcPr>
          <w:p w:rsidR="00E203BC" w:rsidRDefault="00E203BC" w:rsidP="00E203BC">
            <w:pPr>
              <w:jc w:val="right"/>
            </w:pPr>
            <w:r>
              <w:t>-</w:t>
            </w:r>
          </w:p>
        </w:tc>
        <w:tc>
          <w:tcPr>
            <w:tcW w:w="1247" w:type="dxa"/>
            <w:tcMar>
              <w:right w:w="113" w:type="dxa"/>
            </w:tcMar>
            <w:vAlign w:val="center"/>
          </w:tcPr>
          <w:p w:rsidR="00E203BC" w:rsidRDefault="00E203BC" w:rsidP="00E203BC">
            <w:pPr>
              <w:jc w:val="right"/>
              <w:outlineLvl w:val="0"/>
              <w:rPr>
                <w:rFonts w:ascii="Calibri" w:hAnsi="Calibri"/>
              </w:rPr>
            </w:pPr>
            <w:r>
              <w:rPr>
                <w:rFonts w:ascii="Calibri" w:hAnsi="Calibri"/>
              </w:rPr>
              <w:t xml:space="preserve">-  </w:t>
            </w:r>
          </w:p>
        </w:tc>
        <w:tc>
          <w:tcPr>
            <w:tcW w:w="6634" w:type="dxa"/>
            <w:tcMar>
              <w:right w:w="57" w:type="dxa"/>
            </w:tcMar>
            <w:vAlign w:val="center"/>
          </w:tcPr>
          <w:p w:rsidR="00E203BC" w:rsidRPr="00E17ADB" w:rsidRDefault="00E203BC" w:rsidP="00E203BC">
            <w:r w:rsidRPr="00E17ADB">
              <w:t>The project is programmed for Q3.</w:t>
            </w:r>
          </w:p>
        </w:tc>
      </w:tr>
      <w:tr w:rsidR="00E203BC" w:rsidTr="00721EFF">
        <w:trPr>
          <w:gridAfter w:val="1"/>
          <w:wAfter w:w="7" w:type="dxa"/>
          <w:cantSplit/>
        </w:trPr>
        <w:tc>
          <w:tcPr>
            <w:tcW w:w="2830" w:type="dxa"/>
            <w:tcBorders>
              <w:bottom w:val="single" w:sz="4" w:space="0" w:color="BFBFBF" w:themeColor="background1" w:themeShade="BF"/>
            </w:tcBorders>
            <w:tcMar>
              <w:right w:w="57" w:type="dxa"/>
            </w:tcMar>
            <w:vAlign w:val="center"/>
          </w:tcPr>
          <w:p w:rsidR="00E203BC" w:rsidRDefault="00E203BC" w:rsidP="00E203BC">
            <w:r w:rsidRPr="001A1931">
              <w:t>City Deal - St Catherine's Park and Central Park</w:t>
            </w:r>
          </w:p>
        </w:tc>
        <w:tc>
          <w:tcPr>
            <w:tcW w:w="1247" w:type="dxa"/>
            <w:tcBorders>
              <w:bottom w:val="single" w:sz="4" w:space="0" w:color="BFBFBF" w:themeColor="background1" w:themeShade="BF"/>
            </w:tcBorders>
            <w:tcMar>
              <w:right w:w="113" w:type="dxa"/>
            </w:tcMar>
            <w:vAlign w:val="center"/>
          </w:tcPr>
          <w:p w:rsidR="00E203BC" w:rsidRDefault="00E203BC" w:rsidP="00E203BC">
            <w:pPr>
              <w:jc w:val="right"/>
            </w:pPr>
            <w:r>
              <w:t>99,716</w:t>
            </w:r>
          </w:p>
        </w:tc>
        <w:tc>
          <w:tcPr>
            <w:tcW w:w="1247" w:type="dxa"/>
            <w:tcBorders>
              <w:bottom w:val="single" w:sz="4" w:space="0" w:color="BFBFBF" w:themeColor="background1" w:themeShade="BF"/>
            </w:tcBorders>
            <w:tcMar>
              <w:right w:w="113" w:type="dxa"/>
            </w:tcMar>
            <w:vAlign w:val="center"/>
          </w:tcPr>
          <w:p w:rsidR="00E203BC" w:rsidRDefault="00E203BC" w:rsidP="00E203BC">
            <w:pPr>
              <w:jc w:val="right"/>
            </w:pPr>
            <w:r>
              <w:t>45,607</w:t>
            </w:r>
          </w:p>
        </w:tc>
        <w:tc>
          <w:tcPr>
            <w:tcW w:w="1247" w:type="dxa"/>
            <w:tcBorders>
              <w:bottom w:val="single" w:sz="4" w:space="0" w:color="BFBFBF" w:themeColor="background1" w:themeShade="BF"/>
            </w:tcBorders>
            <w:tcMar>
              <w:right w:w="113" w:type="dxa"/>
            </w:tcMar>
            <w:vAlign w:val="center"/>
          </w:tcPr>
          <w:p w:rsidR="00E203BC" w:rsidRDefault="00E203BC" w:rsidP="00E203BC">
            <w:pPr>
              <w:jc w:val="right"/>
            </w:pPr>
            <w:r>
              <w:t>99,716</w:t>
            </w:r>
          </w:p>
        </w:tc>
        <w:tc>
          <w:tcPr>
            <w:tcW w:w="1247" w:type="dxa"/>
            <w:tcBorders>
              <w:bottom w:val="single" w:sz="4" w:space="0" w:color="BFBFBF" w:themeColor="background1" w:themeShade="BF"/>
            </w:tcBorders>
            <w:tcMar>
              <w:right w:w="113" w:type="dxa"/>
            </w:tcMar>
            <w:vAlign w:val="center"/>
          </w:tcPr>
          <w:p w:rsidR="00E203BC" w:rsidRDefault="00E203BC" w:rsidP="00E203BC">
            <w:pPr>
              <w:jc w:val="right"/>
            </w:pPr>
            <w:r>
              <w:t>-</w:t>
            </w:r>
          </w:p>
        </w:tc>
        <w:tc>
          <w:tcPr>
            <w:tcW w:w="1247" w:type="dxa"/>
            <w:tcBorders>
              <w:bottom w:val="single" w:sz="4" w:space="0" w:color="BFBFBF" w:themeColor="background1" w:themeShade="BF"/>
            </w:tcBorders>
            <w:tcMar>
              <w:right w:w="113" w:type="dxa"/>
            </w:tcMar>
            <w:vAlign w:val="center"/>
          </w:tcPr>
          <w:p w:rsidR="00E203BC" w:rsidRDefault="00E203BC" w:rsidP="00E203BC">
            <w:pPr>
              <w:jc w:val="right"/>
              <w:outlineLvl w:val="0"/>
              <w:rPr>
                <w:rFonts w:ascii="Calibri" w:hAnsi="Calibri"/>
              </w:rPr>
            </w:pPr>
            <w:r>
              <w:rPr>
                <w:rFonts w:ascii="Calibri" w:hAnsi="Calibri"/>
              </w:rPr>
              <w:t xml:space="preserve">-  </w:t>
            </w:r>
          </w:p>
        </w:tc>
        <w:tc>
          <w:tcPr>
            <w:tcW w:w="6634" w:type="dxa"/>
            <w:tcBorders>
              <w:bottom w:val="single" w:sz="4" w:space="0" w:color="BFBFBF" w:themeColor="background1" w:themeShade="BF"/>
            </w:tcBorders>
            <w:tcMar>
              <w:right w:w="57" w:type="dxa"/>
            </w:tcMar>
            <w:vAlign w:val="center"/>
          </w:tcPr>
          <w:p w:rsidR="00E203BC" w:rsidRDefault="00E203BC" w:rsidP="00E203BC">
            <w:r w:rsidRPr="00E17ADB">
              <w:t>This project is City Deal funded.  The spend so far relates to a new natural play area in St Catherine's Park.</w:t>
            </w:r>
          </w:p>
        </w:tc>
      </w:tr>
      <w:tr w:rsidR="00BA5471" w:rsidTr="000503DF">
        <w:trPr>
          <w:gridAfter w:val="1"/>
          <w:wAfter w:w="7" w:type="dxa"/>
          <w:cantSplit/>
        </w:trPr>
        <w:tc>
          <w:tcPr>
            <w:tcW w:w="2830" w:type="dxa"/>
            <w:tcBorders>
              <w:left w:val="nil"/>
              <w:bottom w:val="nil"/>
              <w:right w:val="nil"/>
            </w:tcBorders>
            <w:tcMar>
              <w:right w:w="57" w:type="dxa"/>
            </w:tcMar>
            <w:vAlign w:val="center"/>
          </w:tcPr>
          <w:p w:rsidR="00BA5471" w:rsidRDefault="00BA5471" w:rsidP="000503DF"/>
          <w:p w:rsidR="00BA5471" w:rsidRPr="001A1931" w:rsidRDefault="00BA5471" w:rsidP="000503DF"/>
        </w:tc>
        <w:tc>
          <w:tcPr>
            <w:tcW w:w="1247" w:type="dxa"/>
            <w:tcBorders>
              <w:left w:val="nil"/>
              <w:bottom w:val="nil"/>
              <w:right w:val="nil"/>
            </w:tcBorders>
            <w:tcMar>
              <w:right w:w="113" w:type="dxa"/>
            </w:tcMar>
            <w:vAlign w:val="center"/>
          </w:tcPr>
          <w:p w:rsidR="00BA5471" w:rsidRDefault="00BA5471" w:rsidP="000503DF">
            <w:pPr>
              <w:jc w:val="right"/>
            </w:pPr>
          </w:p>
        </w:tc>
        <w:tc>
          <w:tcPr>
            <w:tcW w:w="1247" w:type="dxa"/>
            <w:tcBorders>
              <w:left w:val="nil"/>
              <w:bottom w:val="nil"/>
              <w:right w:val="nil"/>
            </w:tcBorders>
            <w:tcMar>
              <w:right w:w="113" w:type="dxa"/>
            </w:tcMar>
            <w:vAlign w:val="center"/>
          </w:tcPr>
          <w:p w:rsidR="00BA5471" w:rsidRDefault="00BA5471" w:rsidP="000503DF">
            <w:pPr>
              <w:jc w:val="right"/>
            </w:pPr>
          </w:p>
        </w:tc>
        <w:tc>
          <w:tcPr>
            <w:tcW w:w="1247" w:type="dxa"/>
            <w:tcBorders>
              <w:left w:val="nil"/>
              <w:bottom w:val="nil"/>
              <w:right w:val="nil"/>
            </w:tcBorders>
            <w:tcMar>
              <w:right w:w="113" w:type="dxa"/>
            </w:tcMar>
            <w:vAlign w:val="center"/>
          </w:tcPr>
          <w:p w:rsidR="00BA5471" w:rsidRDefault="00BA5471" w:rsidP="000503DF">
            <w:pPr>
              <w:jc w:val="right"/>
            </w:pPr>
          </w:p>
        </w:tc>
        <w:tc>
          <w:tcPr>
            <w:tcW w:w="1247" w:type="dxa"/>
            <w:tcBorders>
              <w:left w:val="nil"/>
              <w:bottom w:val="nil"/>
              <w:right w:val="nil"/>
            </w:tcBorders>
            <w:tcMar>
              <w:right w:w="113" w:type="dxa"/>
            </w:tcMar>
            <w:vAlign w:val="center"/>
          </w:tcPr>
          <w:p w:rsidR="00BA5471" w:rsidRDefault="00BA5471" w:rsidP="000503DF">
            <w:pPr>
              <w:jc w:val="right"/>
            </w:pPr>
          </w:p>
        </w:tc>
        <w:tc>
          <w:tcPr>
            <w:tcW w:w="1247" w:type="dxa"/>
            <w:tcBorders>
              <w:left w:val="nil"/>
              <w:bottom w:val="nil"/>
              <w:right w:val="nil"/>
            </w:tcBorders>
            <w:tcMar>
              <w:right w:w="113" w:type="dxa"/>
            </w:tcMar>
            <w:vAlign w:val="center"/>
          </w:tcPr>
          <w:p w:rsidR="00BA5471" w:rsidRDefault="00BA5471" w:rsidP="000503DF">
            <w:pPr>
              <w:jc w:val="right"/>
              <w:outlineLvl w:val="0"/>
              <w:rPr>
                <w:rFonts w:ascii="Calibri" w:hAnsi="Calibri"/>
              </w:rPr>
            </w:pPr>
          </w:p>
        </w:tc>
        <w:tc>
          <w:tcPr>
            <w:tcW w:w="6634" w:type="dxa"/>
            <w:tcBorders>
              <w:left w:val="nil"/>
              <w:bottom w:val="nil"/>
              <w:right w:val="nil"/>
            </w:tcBorders>
            <w:tcMar>
              <w:right w:w="57" w:type="dxa"/>
            </w:tcMar>
            <w:vAlign w:val="center"/>
          </w:tcPr>
          <w:p w:rsidR="00BA5471" w:rsidRPr="00E17ADB" w:rsidRDefault="00BA5471" w:rsidP="000503DF"/>
        </w:tc>
      </w:tr>
      <w:tr w:rsidR="00E203BC" w:rsidRPr="00252766" w:rsidTr="00721EFF">
        <w:trPr>
          <w:cantSplit/>
        </w:trPr>
        <w:tc>
          <w:tcPr>
            <w:tcW w:w="15706" w:type="dxa"/>
            <w:gridSpan w:val="8"/>
            <w:tcBorders>
              <w:top w:val="nil"/>
              <w:bottom w:val="nil"/>
            </w:tcBorders>
            <w:tcMar>
              <w:right w:w="113" w:type="dxa"/>
            </w:tcMar>
            <w:vAlign w:val="center"/>
          </w:tcPr>
          <w:p w:rsidR="00E203BC" w:rsidRPr="00252766" w:rsidRDefault="00E203BC" w:rsidP="00E203BC">
            <w:pPr>
              <w:rPr>
                <w:u w:val="single"/>
              </w:rPr>
            </w:pPr>
          </w:p>
          <w:p w:rsidR="00E203BC" w:rsidRPr="00252766" w:rsidRDefault="00E203BC" w:rsidP="00E203BC">
            <w:pPr>
              <w:pStyle w:val="Heading1"/>
              <w:outlineLvl w:val="0"/>
            </w:pPr>
            <w:r>
              <w:t>Schemes carried forward from 2017-18</w:t>
            </w:r>
          </w:p>
        </w:tc>
      </w:tr>
      <w:tr w:rsidR="00E203BC" w:rsidTr="00D14D27">
        <w:trPr>
          <w:gridAfter w:val="1"/>
          <w:wAfter w:w="7" w:type="dxa"/>
          <w:cantSplit/>
        </w:trPr>
        <w:tc>
          <w:tcPr>
            <w:tcW w:w="2830" w:type="dxa"/>
            <w:tcMar>
              <w:right w:w="57" w:type="dxa"/>
            </w:tcMar>
            <w:vAlign w:val="center"/>
          </w:tcPr>
          <w:p w:rsidR="00E203BC" w:rsidRPr="008A427A" w:rsidRDefault="00E203BC" w:rsidP="00E203BC">
            <w:r w:rsidRPr="008A427A">
              <w:t>Open Spaces 2016/17 to 2019/20</w:t>
            </w:r>
          </w:p>
        </w:tc>
        <w:tc>
          <w:tcPr>
            <w:tcW w:w="1247" w:type="dxa"/>
            <w:tcMar>
              <w:right w:w="113" w:type="dxa"/>
            </w:tcMar>
            <w:vAlign w:val="center"/>
          </w:tcPr>
          <w:p w:rsidR="00E203BC" w:rsidRPr="00BD5F17" w:rsidRDefault="00E203BC" w:rsidP="00E203BC">
            <w:pPr>
              <w:jc w:val="right"/>
            </w:pPr>
            <w:r w:rsidRPr="00BD5F17">
              <w:t xml:space="preserve">67,504 </w:t>
            </w:r>
          </w:p>
        </w:tc>
        <w:tc>
          <w:tcPr>
            <w:tcW w:w="1247" w:type="dxa"/>
            <w:tcBorders>
              <w:top w:val="single" w:sz="4" w:space="0" w:color="BFBFBF"/>
              <w:left w:val="single" w:sz="4" w:space="0" w:color="BFBFBF"/>
              <w:bottom w:val="single" w:sz="4" w:space="0" w:color="BFBFBF"/>
              <w:right w:val="single" w:sz="4" w:space="0" w:color="BFBFBF"/>
            </w:tcBorders>
            <w:shd w:val="clear" w:color="auto" w:fill="auto"/>
            <w:tcMar>
              <w:right w:w="113" w:type="dxa"/>
            </w:tcMar>
            <w:vAlign w:val="center"/>
          </w:tcPr>
          <w:p w:rsidR="00E203BC" w:rsidRDefault="00E203BC" w:rsidP="00E203BC">
            <w:pPr>
              <w:spacing w:line="240" w:lineRule="auto"/>
              <w:jc w:val="right"/>
              <w:outlineLvl w:val="0"/>
              <w:rPr>
                <w:rFonts w:ascii="Calibri" w:hAnsi="Calibri"/>
              </w:rPr>
            </w:pPr>
            <w:r>
              <w:rPr>
                <w:rFonts w:ascii="Calibri" w:hAnsi="Calibri"/>
              </w:rPr>
              <w:t xml:space="preserve">76,991 </w:t>
            </w:r>
          </w:p>
        </w:tc>
        <w:tc>
          <w:tcPr>
            <w:tcW w:w="1247" w:type="dxa"/>
            <w:tcBorders>
              <w:top w:val="single" w:sz="4" w:space="0" w:color="BFBFBF"/>
              <w:left w:val="single" w:sz="4" w:space="0" w:color="BFBFBF"/>
              <w:bottom w:val="single" w:sz="4" w:space="0" w:color="BFBFBF"/>
              <w:right w:val="single" w:sz="4" w:space="0" w:color="BFBFBF"/>
            </w:tcBorders>
            <w:shd w:val="clear" w:color="auto" w:fill="auto"/>
            <w:tcMar>
              <w:right w:w="113" w:type="dxa"/>
            </w:tcMar>
            <w:vAlign w:val="center"/>
          </w:tcPr>
          <w:p w:rsidR="00E203BC" w:rsidRDefault="00E203BC" w:rsidP="00E203BC">
            <w:pPr>
              <w:spacing w:line="240" w:lineRule="auto"/>
              <w:jc w:val="right"/>
              <w:outlineLvl w:val="0"/>
              <w:rPr>
                <w:rFonts w:ascii="Calibri" w:hAnsi="Calibri"/>
              </w:rPr>
            </w:pPr>
            <w:r>
              <w:rPr>
                <w:rFonts w:ascii="Calibri" w:hAnsi="Calibri"/>
              </w:rPr>
              <w:t xml:space="preserve">76,991 </w:t>
            </w:r>
          </w:p>
        </w:tc>
        <w:tc>
          <w:tcPr>
            <w:tcW w:w="1247" w:type="dxa"/>
            <w:tcBorders>
              <w:top w:val="single" w:sz="4" w:space="0" w:color="BFBFBF"/>
              <w:left w:val="nil"/>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 xml:space="preserve">-  </w:t>
            </w:r>
          </w:p>
        </w:tc>
        <w:tc>
          <w:tcPr>
            <w:tcW w:w="1247" w:type="dxa"/>
            <w:tcMar>
              <w:right w:w="113" w:type="dxa"/>
            </w:tcMar>
            <w:vAlign w:val="center"/>
          </w:tcPr>
          <w:p w:rsidR="00E203BC" w:rsidRDefault="00E203BC" w:rsidP="002F5E04">
            <w:pPr>
              <w:jc w:val="right"/>
              <w:outlineLvl w:val="0"/>
              <w:rPr>
                <w:rFonts w:ascii="Calibri" w:hAnsi="Calibri"/>
              </w:rPr>
            </w:pPr>
            <w:r>
              <w:rPr>
                <w:rFonts w:ascii="Calibri" w:hAnsi="Calibri"/>
              </w:rPr>
              <w:t xml:space="preserve">9,487  </w:t>
            </w:r>
          </w:p>
        </w:tc>
        <w:tc>
          <w:tcPr>
            <w:tcW w:w="6634" w:type="dxa"/>
            <w:tcMar>
              <w:right w:w="57" w:type="dxa"/>
            </w:tcMar>
            <w:vAlign w:val="center"/>
          </w:tcPr>
          <w:p w:rsidR="00E203BC" w:rsidRPr="0061567B" w:rsidRDefault="00E203BC" w:rsidP="00E203BC">
            <w:r w:rsidRPr="0061567B">
              <w:t>There are two main projects.  Firstly, works are underway at King George V, Queensway Penwortham, consisting of resurfacing of footpaths and rebuilding of brick pillars.  Completion is expected in Q3.  Secondly, an extension to the ball court at Dob Lane Playing Field has now been completed.  There will be an overspend against the budget of £10k, although £6k of this will be recovered from a contribution from the Parish Council.</w:t>
            </w:r>
          </w:p>
        </w:tc>
      </w:tr>
      <w:tr w:rsidR="00E203BC" w:rsidTr="00D14D27">
        <w:trPr>
          <w:gridAfter w:val="1"/>
          <w:wAfter w:w="7" w:type="dxa"/>
          <w:cantSplit/>
        </w:trPr>
        <w:tc>
          <w:tcPr>
            <w:tcW w:w="2830" w:type="dxa"/>
            <w:tcMar>
              <w:right w:w="57" w:type="dxa"/>
            </w:tcMar>
            <w:vAlign w:val="center"/>
          </w:tcPr>
          <w:p w:rsidR="00E203BC" w:rsidRPr="008A427A" w:rsidRDefault="00E203BC" w:rsidP="00E203BC">
            <w:r w:rsidRPr="008A427A">
              <w:t>Gregson Green - Drainage Scheme</w:t>
            </w:r>
          </w:p>
        </w:tc>
        <w:tc>
          <w:tcPr>
            <w:tcW w:w="1247" w:type="dxa"/>
            <w:tcMar>
              <w:right w:w="113" w:type="dxa"/>
            </w:tcMar>
            <w:vAlign w:val="center"/>
          </w:tcPr>
          <w:p w:rsidR="00E203BC" w:rsidRPr="00BD5F17" w:rsidRDefault="00E203BC" w:rsidP="00E203BC">
            <w:pPr>
              <w:jc w:val="right"/>
            </w:pPr>
            <w:r w:rsidRPr="00BD5F17">
              <w:t xml:space="preserve">18,747 </w:t>
            </w:r>
          </w:p>
        </w:tc>
        <w:tc>
          <w:tcPr>
            <w:tcW w:w="1247" w:type="dxa"/>
            <w:tcBorders>
              <w:top w:val="nil"/>
              <w:left w:val="single" w:sz="4" w:space="0" w:color="BFBFBF"/>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 xml:space="preserve">5,746 </w:t>
            </w:r>
          </w:p>
        </w:tc>
        <w:tc>
          <w:tcPr>
            <w:tcW w:w="1247" w:type="dxa"/>
            <w:tcBorders>
              <w:top w:val="nil"/>
              <w:left w:val="single" w:sz="4" w:space="0" w:color="BFBFBF"/>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 xml:space="preserve">18,747 </w:t>
            </w:r>
          </w:p>
        </w:tc>
        <w:tc>
          <w:tcPr>
            <w:tcW w:w="1247" w:type="dxa"/>
            <w:tcBorders>
              <w:top w:val="nil"/>
              <w:left w:val="nil"/>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 xml:space="preserve">-  </w:t>
            </w:r>
          </w:p>
        </w:tc>
        <w:tc>
          <w:tcPr>
            <w:tcW w:w="1247" w:type="dxa"/>
            <w:tcMar>
              <w:right w:w="113" w:type="dxa"/>
            </w:tcMar>
            <w:vAlign w:val="center"/>
          </w:tcPr>
          <w:p w:rsidR="00E203BC" w:rsidRDefault="00E203BC" w:rsidP="00E203BC">
            <w:pPr>
              <w:jc w:val="right"/>
              <w:outlineLvl w:val="0"/>
              <w:rPr>
                <w:rFonts w:ascii="Calibri" w:hAnsi="Calibri"/>
              </w:rPr>
            </w:pPr>
            <w:r>
              <w:rPr>
                <w:rFonts w:ascii="Calibri" w:hAnsi="Calibri"/>
              </w:rPr>
              <w:t xml:space="preserve">-  </w:t>
            </w:r>
          </w:p>
        </w:tc>
        <w:tc>
          <w:tcPr>
            <w:tcW w:w="6634" w:type="dxa"/>
            <w:tcMar>
              <w:right w:w="57" w:type="dxa"/>
            </w:tcMar>
            <w:vAlign w:val="center"/>
          </w:tcPr>
          <w:p w:rsidR="00E203BC" w:rsidRPr="0061567B" w:rsidRDefault="00E203BC" w:rsidP="00E203BC">
            <w:r w:rsidRPr="0061567B">
              <w:t>Works complete and final payments to be made in Q2.</w:t>
            </w:r>
          </w:p>
        </w:tc>
      </w:tr>
      <w:tr w:rsidR="00E203BC" w:rsidTr="00D14D27">
        <w:trPr>
          <w:gridAfter w:val="1"/>
          <w:wAfter w:w="7" w:type="dxa"/>
          <w:cantSplit/>
        </w:trPr>
        <w:tc>
          <w:tcPr>
            <w:tcW w:w="2830" w:type="dxa"/>
            <w:tcMar>
              <w:right w:w="57" w:type="dxa"/>
            </w:tcMar>
            <w:vAlign w:val="center"/>
          </w:tcPr>
          <w:p w:rsidR="00E203BC" w:rsidRPr="008A427A" w:rsidRDefault="00E203BC" w:rsidP="00E203BC">
            <w:r w:rsidRPr="008A427A">
              <w:t xml:space="preserve">Hurst Grange Park </w:t>
            </w:r>
          </w:p>
        </w:tc>
        <w:tc>
          <w:tcPr>
            <w:tcW w:w="1247" w:type="dxa"/>
            <w:tcMar>
              <w:right w:w="113" w:type="dxa"/>
            </w:tcMar>
            <w:vAlign w:val="center"/>
          </w:tcPr>
          <w:p w:rsidR="00E203BC" w:rsidRPr="00BD5F17" w:rsidRDefault="00E203BC" w:rsidP="00E203BC">
            <w:pPr>
              <w:jc w:val="right"/>
            </w:pPr>
            <w:r w:rsidRPr="00BD5F17">
              <w:t xml:space="preserve">25,000 </w:t>
            </w:r>
          </w:p>
        </w:tc>
        <w:tc>
          <w:tcPr>
            <w:tcW w:w="1247" w:type="dxa"/>
            <w:tcBorders>
              <w:top w:val="nil"/>
              <w:left w:val="single" w:sz="4" w:space="0" w:color="BFBFBF"/>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 xml:space="preserve">17,148 </w:t>
            </w:r>
          </w:p>
        </w:tc>
        <w:tc>
          <w:tcPr>
            <w:tcW w:w="1247" w:type="dxa"/>
            <w:tcBorders>
              <w:top w:val="nil"/>
              <w:left w:val="single" w:sz="4" w:space="0" w:color="BFBFBF"/>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 xml:space="preserve">25,000 </w:t>
            </w:r>
          </w:p>
        </w:tc>
        <w:tc>
          <w:tcPr>
            <w:tcW w:w="1247" w:type="dxa"/>
            <w:tcBorders>
              <w:top w:val="nil"/>
              <w:left w:val="nil"/>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 xml:space="preserve">-  </w:t>
            </w:r>
          </w:p>
        </w:tc>
        <w:tc>
          <w:tcPr>
            <w:tcW w:w="1247" w:type="dxa"/>
            <w:tcMar>
              <w:right w:w="113" w:type="dxa"/>
            </w:tcMar>
            <w:vAlign w:val="center"/>
          </w:tcPr>
          <w:p w:rsidR="00E203BC" w:rsidRDefault="00E203BC" w:rsidP="00E203BC">
            <w:pPr>
              <w:jc w:val="right"/>
              <w:outlineLvl w:val="0"/>
              <w:rPr>
                <w:rFonts w:ascii="Calibri" w:hAnsi="Calibri"/>
              </w:rPr>
            </w:pPr>
            <w:r>
              <w:rPr>
                <w:rFonts w:ascii="Calibri" w:hAnsi="Calibri"/>
              </w:rPr>
              <w:t xml:space="preserve">-  </w:t>
            </w:r>
          </w:p>
        </w:tc>
        <w:tc>
          <w:tcPr>
            <w:tcW w:w="6634" w:type="dxa"/>
            <w:tcMar>
              <w:right w:w="57" w:type="dxa"/>
            </w:tcMar>
            <w:vAlign w:val="center"/>
          </w:tcPr>
          <w:p w:rsidR="00E203BC" w:rsidRPr="0061567B" w:rsidRDefault="00E203BC" w:rsidP="00E203BC">
            <w:r w:rsidRPr="0061567B">
              <w:t>Works have been carried out to the culvert to the rear of the Lodge, further investigation work is required to the culvert adjacent the playground.</w:t>
            </w:r>
          </w:p>
        </w:tc>
      </w:tr>
      <w:tr w:rsidR="00E203BC" w:rsidTr="00D14D27">
        <w:trPr>
          <w:gridAfter w:val="1"/>
          <w:wAfter w:w="7" w:type="dxa"/>
          <w:cantSplit/>
        </w:trPr>
        <w:tc>
          <w:tcPr>
            <w:tcW w:w="2830" w:type="dxa"/>
            <w:tcMar>
              <w:right w:w="57" w:type="dxa"/>
            </w:tcMar>
            <w:vAlign w:val="center"/>
          </w:tcPr>
          <w:p w:rsidR="00E203BC" w:rsidRPr="008A427A" w:rsidRDefault="00E203BC" w:rsidP="00E203BC">
            <w:r w:rsidRPr="008A427A">
              <w:t>St Mary's, Penwortham - Churchyard wall repairs</w:t>
            </w:r>
          </w:p>
        </w:tc>
        <w:tc>
          <w:tcPr>
            <w:tcW w:w="1247" w:type="dxa"/>
            <w:tcMar>
              <w:right w:w="113" w:type="dxa"/>
            </w:tcMar>
            <w:vAlign w:val="center"/>
          </w:tcPr>
          <w:p w:rsidR="00E203BC" w:rsidRPr="00BD5F17" w:rsidRDefault="00E203BC" w:rsidP="00E203BC">
            <w:pPr>
              <w:jc w:val="right"/>
            </w:pPr>
            <w:r w:rsidRPr="00BD5F17">
              <w:t xml:space="preserve">105,000 </w:t>
            </w:r>
          </w:p>
        </w:tc>
        <w:tc>
          <w:tcPr>
            <w:tcW w:w="1247" w:type="dxa"/>
            <w:tcBorders>
              <w:top w:val="nil"/>
              <w:left w:val="single" w:sz="4" w:space="0" w:color="BFBFBF"/>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 xml:space="preserve">-  </w:t>
            </w:r>
          </w:p>
        </w:tc>
        <w:tc>
          <w:tcPr>
            <w:tcW w:w="1247" w:type="dxa"/>
            <w:tcBorders>
              <w:top w:val="nil"/>
              <w:left w:val="single" w:sz="4" w:space="0" w:color="BFBFBF"/>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 xml:space="preserve">105,000 </w:t>
            </w:r>
          </w:p>
        </w:tc>
        <w:tc>
          <w:tcPr>
            <w:tcW w:w="1247" w:type="dxa"/>
            <w:tcBorders>
              <w:top w:val="nil"/>
              <w:left w:val="nil"/>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 xml:space="preserve">-  </w:t>
            </w:r>
          </w:p>
        </w:tc>
        <w:tc>
          <w:tcPr>
            <w:tcW w:w="1247" w:type="dxa"/>
            <w:tcMar>
              <w:right w:w="113" w:type="dxa"/>
            </w:tcMar>
            <w:vAlign w:val="center"/>
          </w:tcPr>
          <w:p w:rsidR="00E203BC" w:rsidRDefault="00E203BC" w:rsidP="00E203BC">
            <w:pPr>
              <w:jc w:val="right"/>
              <w:outlineLvl w:val="0"/>
              <w:rPr>
                <w:rFonts w:ascii="Calibri" w:hAnsi="Calibri"/>
              </w:rPr>
            </w:pPr>
            <w:r>
              <w:rPr>
                <w:rFonts w:ascii="Calibri" w:hAnsi="Calibri"/>
              </w:rPr>
              <w:t xml:space="preserve">-  </w:t>
            </w:r>
          </w:p>
        </w:tc>
        <w:tc>
          <w:tcPr>
            <w:tcW w:w="6634" w:type="dxa"/>
            <w:tcMar>
              <w:right w:w="57" w:type="dxa"/>
            </w:tcMar>
            <w:vAlign w:val="center"/>
          </w:tcPr>
          <w:p w:rsidR="00E203BC" w:rsidRPr="0061567B" w:rsidRDefault="00E203BC" w:rsidP="00E203BC">
            <w:r w:rsidRPr="0061567B">
              <w:t>Delays have been incurred in attempting to obtain burial records from the diocese, this has meant that the opportunity to carry out the work this year has been missed. Plans will be put in place to ensure the work is carried out in spring as soon as ground conditions allow.</w:t>
            </w:r>
          </w:p>
        </w:tc>
      </w:tr>
      <w:tr w:rsidR="00E203BC" w:rsidTr="00D14D27">
        <w:trPr>
          <w:gridAfter w:val="1"/>
          <w:wAfter w:w="7" w:type="dxa"/>
          <w:cantSplit/>
        </w:trPr>
        <w:tc>
          <w:tcPr>
            <w:tcW w:w="2830" w:type="dxa"/>
            <w:tcBorders>
              <w:right w:val="nil"/>
            </w:tcBorders>
            <w:tcMar>
              <w:right w:w="57" w:type="dxa"/>
            </w:tcMar>
            <w:vAlign w:val="center"/>
          </w:tcPr>
          <w:p w:rsidR="00E203BC" w:rsidRPr="008A427A" w:rsidRDefault="00E203BC" w:rsidP="00E203BC"/>
        </w:tc>
        <w:tc>
          <w:tcPr>
            <w:tcW w:w="1247" w:type="dxa"/>
            <w:tcBorders>
              <w:left w:val="nil"/>
              <w:right w:val="nil"/>
            </w:tcBorders>
            <w:tcMar>
              <w:right w:w="113" w:type="dxa"/>
            </w:tcMar>
            <w:vAlign w:val="center"/>
          </w:tcPr>
          <w:p w:rsidR="00E203BC" w:rsidRPr="00BD5F17" w:rsidRDefault="00E203BC" w:rsidP="00E203BC">
            <w:pPr>
              <w:jc w:val="right"/>
            </w:pPr>
          </w:p>
        </w:tc>
        <w:tc>
          <w:tcPr>
            <w:tcW w:w="1247" w:type="dxa"/>
            <w:tcBorders>
              <w:top w:val="nil"/>
              <w:left w:val="nil"/>
              <w:bottom w:val="nil"/>
              <w:right w:val="nil"/>
            </w:tcBorders>
            <w:shd w:val="clear" w:color="auto" w:fill="auto"/>
            <w:tcMar>
              <w:right w:w="113" w:type="dxa"/>
            </w:tcMar>
            <w:vAlign w:val="center"/>
          </w:tcPr>
          <w:p w:rsidR="00E203BC" w:rsidRDefault="00E203BC" w:rsidP="00E203BC">
            <w:pPr>
              <w:jc w:val="right"/>
              <w:outlineLvl w:val="0"/>
              <w:rPr>
                <w:rFonts w:ascii="Calibri" w:hAnsi="Calibri"/>
              </w:rPr>
            </w:pPr>
          </w:p>
        </w:tc>
        <w:tc>
          <w:tcPr>
            <w:tcW w:w="1247" w:type="dxa"/>
            <w:tcBorders>
              <w:top w:val="nil"/>
              <w:left w:val="nil"/>
              <w:bottom w:val="nil"/>
              <w:right w:val="nil"/>
            </w:tcBorders>
            <w:shd w:val="clear" w:color="auto" w:fill="auto"/>
            <w:tcMar>
              <w:right w:w="113" w:type="dxa"/>
            </w:tcMar>
            <w:vAlign w:val="center"/>
          </w:tcPr>
          <w:p w:rsidR="00E203BC" w:rsidRDefault="00E203BC" w:rsidP="00E203BC">
            <w:pPr>
              <w:jc w:val="right"/>
              <w:outlineLvl w:val="0"/>
              <w:rPr>
                <w:rFonts w:ascii="Calibri" w:hAnsi="Calibri"/>
              </w:rPr>
            </w:pPr>
          </w:p>
        </w:tc>
        <w:tc>
          <w:tcPr>
            <w:tcW w:w="1247" w:type="dxa"/>
            <w:tcBorders>
              <w:top w:val="nil"/>
              <w:left w:val="nil"/>
              <w:bottom w:val="nil"/>
              <w:right w:val="nil"/>
            </w:tcBorders>
            <w:shd w:val="clear" w:color="auto" w:fill="auto"/>
            <w:tcMar>
              <w:right w:w="113" w:type="dxa"/>
            </w:tcMar>
            <w:vAlign w:val="center"/>
          </w:tcPr>
          <w:p w:rsidR="00E203BC" w:rsidRDefault="00E203BC" w:rsidP="00E203BC">
            <w:pPr>
              <w:rPr>
                <w:sz w:val="20"/>
                <w:szCs w:val="20"/>
              </w:rPr>
            </w:pPr>
          </w:p>
        </w:tc>
        <w:tc>
          <w:tcPr>
            <w:tcW w:w="1247" w:type="dxa"/>
            <w:tcBorders>
              <w:left w:val="nil"/>
              <w:right w:val="nil"/>
            </w:tcBorders>
            <w:tcMar>
              <w:right w:w="113" w:type="dxa"/>
            </w:tcMar>
            <w:vAlign w:val="center"/>
          </w:tcPr>
          <w:p w:rsidR="00E203BC" w:rsidRDefault="00E203BC" w:rsidP="00E203BC">
            <w:pPr>
              <w:rPr>
                <w:sz w:val="20"/>
                <w:szCs w:val="20"/>
              </w:rPr>
            </w:pPr>
          </w:p>
        </w:tc>
        <w:tc>
          <w:tcPr>
            <w:tcW w:w="6634" w:type="dxa"/>
            <w:tcBorders>
              <w:left w:val="nil"/>
            </w:tcBorders>
            <w:tcMar>
              <w:right w:w="57" w:type="dxa"/>
            </w:tcMar>
            <w:vAlign w:val="center"/>
          </w:tcPr>
          <w:p w:rsidR="00E203BC" w:rsidRPr="0061567B" w:rsidRDefault="00E203BC" w:rsidP="00E203BC"/>
        </w:tc>
      </w:tr>
      <w:tr w:rsidR="00E203BC" w:rsidTr="00D14D27">
        <w:trPr>
          <w:gridAfter w:val="1"/>
          <w:wAfter w:w="7" w:type="dxa"/>
          <w:cantSplit/>
        </w:trPr>
        <w:tc>
          <w:tcPr>
            <w:tcW w:w="2830" w:type="dxa"/>
            <w:tcMar>
              <w:right w:w="57" w:type="dxa"/>
            </w:tcMar>
            <w:vAlign w:val="center"/>
          </w:tcPr>
          <w:p w:rsidR="00E203BC" w:rsidRPr="008A427A" w:rsidRDefault="00E203BC" w:rsidP="00E203BC">
            <w:r w:rsidRPr="008A427A">
              <w:t>Withy Grove Park</w:t>
            </w:r>
          </w:p>
        </w:tc>
        <w:tc>
          <w:tcPr>
            <w:tcW w:w="1247" w:type="dxa"/>
            <w:tcMar>
              <w:right w:w="113" w:type="dxa"/>
            </w:tcMar>
            <w:vAlign w:val="center"/>
          </w:tcPr>
          <w:p w:rsidR="00E203BC" w:rsidRPr="00BD5F17" w:rsidRDefault="00E203BC" w:rsidP="00E203BC">
            <w:pPr>
              <w:jc w:val="right"/>
            </w:pPr>
            <w:r w:rsidRPr="00BD5F17">
              <w:t xml:space="preserve">34,773 </w:t>
            </w:r>
          </w:p>
        </w:tc>
        <w:tc>
          <w:tcPr>
            <w:tcW w:w="1247" w:type="dxa"/>
            <w:tcBorders>
              <w:top w:val="single" w:sz="4" w:space="0" w:color="BFBFBF"/>
              <w:left w:val="single" w:sz="4" w:space="0" w:color="BFBFBF"/>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 xml:space="preserve">3,616 </w:t>
            </w:r>
          </w:p>
        </w:tc>
        <w:tc>
          <w:tcPr>
            <w:tcW w:w="1247" w:type="dxa"/>
            <w:tcBorders>
              <w:top w:val="single" w:sz="4" w:space="0" w:color="BFBFBF"/>
              <w:left w:val="single" w:sz="4" w:space="0" w:color="BFBFBF"/>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 xml:space="preserve">34,773 </w:t>
            </w:r>
          </w:p>
        </w:tc>
        <w:tc>
          <w:tcPr>
            <w:tcW w:w="1247" w:type="dxa"/>
            <w:tcBorders>
              <w:top w:val="single" w:sz="4" w:space="0" w:color="BFBFBF"/>
              <w:left w:val="nil"/>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 xml:space="preserve">-  </w:t>
            </w:r>
          </w:p>
        </w:tc>
        <w:tc>
          <w:tcPr>
            <w:tcW w:w="1247" w:type="dxa"/>
            <w:tcMar>
              <w:right w:w="113" w:type="dxa"/>
            </w:tcMar>
            <w:vAlign w:val="center"/>
          </w:tcPr>
          <w:p w:rsidR="00E203BC" w:rsidRDefault="00E203BC" w:rsidP="00E203BC">
            <w:pPr>
              <w:jc w:val="right"/>
              <w:outlineLvl w:val="0"/>
              <w:rPr>
                <w:rFonts w:ascii="Calibri" w:hAnsi="Calibri"/>
              </w:rPr>
            </w:pPr>
            <w:r>
              <w:rPr>
                <w:rFonts w:ascii="Calibri" w:hAnsi="Calibri"/>
              </w:rPr>
              <w:t xml:space="preserve">-  </w:t>
            </w:r>
          </w:p>
        </w:tc>
        <w:tc>
          <w:tcPr>
            <w:tcW w:w="6634" w:type="dxa"/>
            <w:tcMar>
              <w:right w:w="57" w:type="dxa"/>
            </w:tcMar>
            <w:vAlign w:val="center"/>
          </w:tcPr>
          <w:p w:rsidR="00E203BC" w:rsidRPr="0061567B" w:rsidRDefault="00E203BC" w:rsidP="00E203BC">
            <w:r w:rsidRPr="0061567B">
              <w:t>Phase 1 of works were completed in 17-18.  Phase 2 works, which mainly involve installation of pathway features, will be installed in Q4.</w:t>
            </w:r>
          </w:p>
        </w:tc>
      </w:tr>
      <w:tr w:rsidR="00E203BC" w:rsidTr="00D14D27">
        <w:trPr>
          <w:gridAfter w:val="1"/>
          <w:wAfter w:w="7" w:type="dxa"/>
          <w:cantSplit/>
        </w:trPr>
        <w:tc>
          <w:tcPr>
            <w:tcW w:w="2830" w:type="dxa"/>
            <w:tcMar>
              <w:right w:w="57" w:type="dxa"/>
            </w:tcMar>
            <w:vAlign w:val="center"/>
          </w:tcPr>
          <w:p w:rsidR="00E203BC" w:rsidRPr="008A427A" w:rsidRDefault="00E203BC" w:rsidP="00E203BC">
            <w:r w:rsidRPr="008A427A">
              <w:t>Worden Park - Replacement conservatory / greenhouse</w:t>
            </w:r>
          </w:p>
        </w:tc>
        <w:tc>
          <w:tcPr>
            <w:tcW w:w="1247" w:type="dxa"/>
            <w:tcMar>
              <w:right w:w="113" w:type="dxa"/>
            </w:tcMar>
            <w:vAlign w:val="center"/>
          </w:tcPr>
          <w:p w:rsidR="00E203BC" w:rsidRPr="00BD5F17" w:rsidRDefault="00E203BC" w:rsidP="00E203BC">
            <w:pPr>
              <w:jc w:val="right"/>
            </w:pPr>
            <w:r w:rsidRPr="00BD5F17">
              <w:t xml:space="preserve">142,505 </w:t>
            </w:r>
          </w:p>
        </w:tc>
        <w:tc>
          <w:tcPr>
            <w:tcW w:w="1247" w:type="dxa"/>
            <w:tcBorders>
              <w:top w:val="nil"/>
              <w:left w:val="single" w:sz="4" w:space="0" w:color="BFBFBF"/>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 xml:space="preserve">142,500 </w:t>
            </w:r>
          </w:p>
        </w:tc>
        <w:tc>
          <w:tcPr>
            <w:tcW w:w="1247" w:type="dxa"/>
            <w:tcBorders>
              <w:top w:val="nil"/>
              <w:left w:val="single" w:sz="4" w:space="0" w:color="BFBFBF"/>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 xml:space="preserve">142,505 </w:t>
            </w:r>
          </w:p>
        </w:tc>
        <w:tc>
          <w:tcPr>
            <w:tcW w:w="1247" w:type="dxa"/>
            <w:tcBorders>
              <w:top w:val="nil"/>
              <w:left w:val="nil"/>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 xml:space="preserve">-  </w:t>
            </w:r>
          </w:p>
        </w:tc>
        <w:tc>
          <w:tcPr>
            <w:tcW w:w="1247" w:type="dxa"/>
            <w:tcMar>
              <w:right w:w="113" w:type="dxa"/>
            </w:tcMar>
            <w:vAlign w:val="center"/>
          </w:tcPr>
          <w:p w:rsidR="00E203BC" w:rsidRDefault="00E203BC" w:rsidP="00E203BC">
            <w:pPr>
              <w:jc w:val="right"/>
              <w:outlineLvl w:val="0"/>
              <w:rPr>
                <w:rFonts w:ascii="Calibri" w:hAnsi="Calibri"/>
              </w:rPr>
            </w:pPr>
            <w:r>
              <w:rPr>
                <w:rFonts w:ascii="Calibri" w:hAnsi="Calibri"/>
              </w:rPr>
              <w:t xml:space="preserve">-  </w:t>
            </w:r>
          </w:p>
        </w:tc>
        <w:tc>
          <w:tcPr>
            <w:tcW w:w="6634" w:type="dxa"/>
            <w:tcMar>
              <w:right w:w="57" w:type="dxa"/>
            </w:tcMar>
            <w:vAlign w:val="center"/>
          </w:tcPr>
          <w:p w:rsidR="00E203BC" w:rsidRPr="0061567B" w:rsidRDefault="00377923" w:rsidP="00CC7C23">
            <w:r>
              <w:t>The c</w:t>
            </w:r>
            <w:r w:rsidR="00E203BC" w:rsidRPr="0061567B">
              <w:t xml:space="preserve">onservatory has been built off site and is due to be installed in </w:t>
            </w:r>
            <w:r w:rsidR="00CC7C23">
              <w:t>March 2019.</w:t>
            </w:r>
          </w:p>
        </w:tc>
      </w:tr>
      <w:tr w:rsidR="00E203BC" w:rsidTr="00D14D27">
        <w:trPr>
          <w:gridAfter w:val="1"/>
          <w:wAfter w:w="7" w:type="dxa"/>
          <w:cantSplit/>
        </w:trPr>
        <w:tc>
          <w:tcPr>
            <w:tcW w:w="2830" w:type="dxa"/>
            <w:tcMar>
              <w:right w:w="57" w:type="dxa"/>
            </w:tcMar>
            <w:vAlign w:val="center"/>
          </w:tcPr>
          <w:p w:rsidR="00E203BC" w:rsidRPr="008A427A" w:rsidRDefault="00E203BC" w:rsidP="00E203BC">
            <w:r w:rsidRPr="008A427A">
              <w:t>Worden Park - Toilet facilities improvements</w:t>
            </w:r>
          </w:p>
        </w:tc>
        <w:tc>
          <w:tcPr>
            <w:tcW w:w="1247" w:type="dxa"/>
            <w:tcMar>
              <w:right w:w="113" w:type="dxa"/>
            </w:tcMar>
            <w:vAlign w:val="center"/>
          </w:tcPr>
          <w:p w:rsidR="00E203BC" w:rsidRPr="00BD5F17" w:rsidRDefault="00E203BC" w:rsidP="00E203BC">
            <w:pPr>
              <w:jc w:val="right"/>
            </w:pPr>
            <w:r w:rsidRPr="00BD5F17">
              <w:t xml:space="preserve">200,000 </w:t>
            </w:r>
          </w:p>
        </w:tc>
        <w:tc>
          <w:tcPr>
            <w:tcW w:w="1247" w:type="dxa"/>
            <w:tcBorders>
              <w:top w:val="nil"/>
              <w:left w:val="single" w:sz="4" w:space="0" w:color="BFBFBF"/>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 xml:space="preserve">165,479 </w:t>
            </w:r>
          </w:p>
        </w:tc>
        <w:tc>
          <w:tcPr>
            <w:tcW w:w="1247" w:type="dxa"/>
            <w:tcBorders>
              <w:top w:val="nil"/>
              <w:left w:val="single" w:sz="4" w:space="0" w:color="BFBFBF"/>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 xml:space="preserve">180,000 </w:t>
            </w:r>
          </w:p>
        </w:tc>
        <w:tc>
          <w:tcPr>
            <w:tcW w:w="1247" w:type="dxa"/>
            <w:tcBorders>
              <w:top w:val="nil"/>
              <w:left w:val="nil"/>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 xml:space="preserve">-  </w:t>
            </w:r>
          </w:p>
        </w:tc>
        <w:tc>
          <w:tcPr>
            <w:tcW w:w="1247" w:type="dxa"/>
            <w:tcMar>
              <w:right w:w="113" w:type="dxa"/>
            </w:tcMar>
            <w:vAlign w:val="center"/>
          </w:tcPr>
          <w:p w:rsidR="00E203BC" w:rsidRDefault="002F5E04" w:rsidP="00E203BC">
            <w:pPr>
              <w:jc w:val="right"/>
              <w:outlineLvl w:val="0"/>
              <w:rPr>
                <w:rFonts w:ascii="Calibri" w:hAnsi="Calibri"/>
              </w:rPr>
            </w:pPr>
            <w:r>
              <w:rPr>
                <w:rFonts w:ascii="Calibri" w:hAnsi="Calibri"/>
              </w:rPr>
              <w:t>(</w:t>
            </w:r>
            <w:r w:rsidR="00E203BC">
              <w:rPr>
                <w:rFonts w:ascii="Calibri" w:hAnsi="Calibri"/>
              </w:rPr>
              <w:t>20,000</w:t>
            </w:r>
            <w:r>
              <w:rPr>
                <w:rFonts w:ascii="Calibri" w:hAnsi="Calibri"/>
              </w:rPr>
              <w:t>)</w:t>
            </w:r>
            <w:r w:rsidR="00E203BC">
              <w:rPr>
                <w:rFonts w:ascii="Calibri" w:hAnsi="Calibri"/>
              </w:rPr>
              <w:t xml:space="preserve"> </w:t>
            </w:r>
          </w:p>
        </w:tc>
        <w:tc>
          <w:tcPr>
            <w:tcW w:w="6634" w:type="dxa"/>
            <w:tcMar>
              <w:right w:w="57" w:type="dxa"/>
            </w:tcMar>
            <w:vAlign w:val="center"/>
          </w:tcPr>
          <w:p w:rsidR="00E203BC" w:rsidRPr="0061567B" w:rsidRDefault="00E203BC" w:rsidP="00E203BC">
            <w:r w:rsidRPr="0061567B">
              <w:t>Foundations have been installed.  The toilets will be delivered in October and commissioned by December.  Resurfacing works will also be carried out before December.  The scheme is expected to underspend by £20k.</w:t>
            </w:r>
          </w:p>
        </w:tc>
      </w:tr>
      <w:tr w:rsidR="00E203BC" w:rsidTr="00D14D27">
        <w:trPr>
          <w:gridAfter w:val="1"/>
          <w:wAfter w:w="7" w:type="dxa"/>
          <w:cantSplit/>
        </w:trPr>
        <w:tc>
          <w:tcPr>
            <w:tcW w:w="2830" w:type="dxa"/>
            <w:tcBorders>
              <w:right w:val="nil"/>
            </w:tcBorders>
            <w:tcMar>
              <w:right w:w="57" w:type="dxa"/>
            </w:tcMar>
            <w:vAlign w:val="center"/>
          </w:tcPr>
          <w:p w:rsidR="00E203BC" w:rsidRPr="008A427A" w:rsidRDefault="00E203BC" w:rsidP="00E203BC"/>
        </w:tc>
        <w:tc>
          <w:tcPr>
            <w:tcW w:w="1247" w:type="dxa"/>
            <w:tcBorders>
              <w:left w:val="nil"/>
              <w:right w:val="nil"/>
            </w:tcBorders>
            <w:tcMar>
              <w:right w:w="113" w:type="dxa"/>
            </w:tcMar>
            <w:vAlign w:val="center"/>
          </w:tcPr>
          <w:p w:rsidR="00E203BC" w:rsidRPr="00BD5F17" w:rsidRDefault="00E203BC" w:rsidP="00E203BC">
            <w:pPr>
              <w:jc w:val="right"/>
            </w:pPr>
          </w:p>
        </w:tc>
        <w:tc>
          <w:tcPr>
            <w:tcW w:w="1247" w:type="dxa"/>
            <w:tcBorders>
              <w:top w:val="nil"/>
              <w:left w:val="nil"/>
              <w:bottom w:val="nil"/>
              <w:right w:val="nil"/>
            </w:tcBorders>
            <w:shd w:val="clear" w:color="auto" w:fill="auto"/>
            <w:tcMar>
              <w:right w:w="113" w:type="dxa"/>
            </w:tcMar>
            <w:vAlign w:val="center"/>
          </w:tcPr>
          <w:p w:rsidR="00E203BC" w:rsidRDefault="00E203BC" w:rsidP="00E203BC">
            <w:pPr>
              <w:jc w:val="right"/>
              <w:outlineLvl w:val="0"/>
              <w:rPr>
                <w:rFonts w:ascii="Calibri" w:hAnsi="Calibri"/>
              </w:rPr>
            </w:pPr>
          </w:p>
        </w:tc>
        <w:tc>
          <w:tcPr>
            <w:tcW w:w="1247" w:type="dxa"/>
            <w:tcBorders>
              <w:top w:val="nil"/>
              <w:left w:val="nil"/>
              <w:bottom w:val="nil"/>
              <w:right w:val="nil"/>
            </w:tcBorders>
            <w:shd w:val="clear" w:color="auto" w:fill="auto"/>
            <w:tcMar>
              <w:right w:w="113" w:type="dxa"/>
            </w:tcMar>
            <w:vAlign w:val="center"/>
          </w:tcPr>
          <w:p w:rsidR="00E203BC" w:rsidRDefault="00E203BC" w:rsidP="00E203BC">
            <w:pPr>
              <w:jc w:val="right"/>
              <w:outlineLvl w:val="0"/>
              <w:rPr>
                <w:rFonts w:ascii="Calibri" w:hAnsi="Calibri"/>
              </w:rPr>
            </w:pPr>
          </w:p>
        </w:tc>
        <w:tc>
          <w:tcPr>
            <w:tcW w:w="1247" w:type="dxa"/>
            <w:tcBorders>
              <w:top w:val="nil"/>
              <w:left w:val="nil"/>
              <w:bottom w:val="nil"/>
              <w:right w:val="nil"/>
            </w:tcBorders>
            <w:shd w:val="clear" w:color="auto" w:fill="auto"/>
            <w:tcMar>
              <w:right w:w="113" w:type="dxa"/>
            </w:tcMar>
            <w:vAlign w:val="center"/>
          </w:tcPr>
          <w:p w:rsidR="00E203BC" w:rsidRDefault="00E203BC" w:rsidP="00E203BC">
            <w:pPr>
              <w:rPr>
                <w:sz w:val="20"/>
                <w:szCs w:val="20"/>
              </w:rPr>
            </w:pPr>
          </w:p>
        </w:tc>
        <w:tc>
          <w:tcPr>
            <w:tcW w:w="1247" w:type="dxa"/>
            <w:tcBorders>
              <w:left w:val="nil"/>
              <w:right w:val="nil"/>
            </w:tcBorders>
            <w:tcMar>
              <w:right w:w="113" w:type="dxa"/>
            </w:tcMar>
            <w:vAlign w:val="center"/>
          </w:tcPr>
          <w:p w:rsidR="00E203BC" w:rsidRDefault="00E203BC" w:rsidP="00E203BC">
            <w:pPr>
              <w:rPr>
                <w:sz w:val="20"/>
                <w:szCs w:val="20"/>
              </w:rPr>
            </w:pPr>
          </w:p>
        </w:tc>
        <w:tc>
          <w:tcPr>
            <w:tcW w:w="6634" w:type="dxa"/>
            <w:tcBorders>
              <w:left w:val="nil"/>
            </w:tcBorders>
            <w:tcMar>
              <w:right w:w="57" w:type="dxa"/>
            </w:tcMar>
            <w:vAlign w:val="center"/>
          </w:tcPr>
          <w:p w:rsidR="00E203BC" w:rsidRPr="0061567B" w:rsidRDefault="00E203BC" w:rsidP="00E203BC"/>
        </w:tc>
      </w:tr>
      <w:tr w:rsidR="00E203BC" w:rsidTr="00D3673D">
        <w:trPr>
          <w:gridAfter w:val="1"/>
          <w:wAfter w:w="7" w:type="dxa"/>
          <w:cantSplit/>
        </w:trPr>
        <w:tc>
          <w:tcPr>
            <w:tcW w:w="2830" w:type="dxa"/>
            <w:tcMar>
              <w:right w:w="57" w:type="dxa"/>
            </w:tcMar>
            <w:vAlign w:val="center"/>
          </w:tcPr>
          <w:p w:rsidR="00E203BC" w:rsidRPr="008A427A" w:rsidRDefault="00E203BC" w:rsidP="00E203BC">
            <w:r w:rsidRPr="008A427A">
              <w:t>Bamber Bridge railway station</w:t>
            </w:r>
          </w:p>
        </w:tc>
        <w:tc>
          <w:tcPr>
            <w:tcW w:w="1247" w:type="dxa"/>
            <w:tcMar>
              <w:right w:w="113" w:type="dxa"/>
            </w:tcMar>
            <w:vAlign w:val="center"/>
          </w:tcPr>
          <w:p w:rsidR="00E203BC" w:rsidRPr="00BD5F17" w:rsidRDefault="00E203BC" w:rsidP="00E203BC">
            <w:pPr>
              <w:jc w:val="right"/>
            </w:pPr>
            <w:r w:rsidRPr="00BD5F17">
              <w:t xml:space="preserve">5,000 </w:t>
            </w:r>
          </w:p>
        </w:tc>
        <w:tc>
          <w:tcPr>
            <w:tcW w:w="1247" w:type="dxa"/>
            <w:tcBorders>
              <w:top w:val="single" w:sz="4" w:space="0" w:color="BFBFBF"/>
              <w:left w:val="single" w:sz="4" w:space="0" w:color="BFBFBF"/>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 xml:space="preserve">-  </w:t>
            </w:r>
          </w:p>
        </w:tc>
        <w:tc>
          <w:tcPr>
            <w:tcW w:w="1247" w:type="dxa"/>
            <w:tcBorders>
              <w:top w:val="single" w:sz="4" w:space="0" w:color="BFBFBF"/>
              <w:left w:val="single" w:sz="4" w:space="0" w:color="BFBFBF"/>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 xml:space="preserve">5,000 </w:t>
            </w:r>
          </w:p>
        </w:tc>
        <w:tc>
          <w:tcPr>
            <w:tcW w:w="1247" w:type="dxa"/>
            <w:tcBorders>
              <w:top w:val="single" w:sz="4" w:space="0" w:color="BFBFBF"/>
              <w:left w:val="nil"/>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 xml:space="preserve">-  </w:t>
            </w:r>
          </w:p>
        </w:tc>
        <w:tc>
          <w:tcPr>
            <w:tcW w:w="1247" w:type="dxa"/>
            <w:tcMar>
              <w:right w:w="113" w:type="dxa"/>
            </w:tcMar>
          </w:tcPr>
          <w:p w:rsidR="00E203BC" w:rsidRPr="0061567B" w:rsidRDefault="00E203BC" w:rsidP="00E203BC"/>
        </w:tc>
        <w:tc>
          <w:tcPr>
            <w:tcW w:w="6634" w:type="dxa"/>
            <w:tcMar>
              <w:right w:w="57" w:type="dxa"/>
            </w:tcMar>
            <w:vAlign w:val="center"/>
          </w:tcPr>
          <w:p w:rsidR="00E203BC" w:rsidRPr="0061567B" w:rsidRDefault="00E203BC" w:rsidP="00E203BC">
            <w:r w:rsidRPr="0061567B">
              <w:t>The project is programmed for Q3</w:t>
            </w:r>
          </w:p>
        </w:tc>
      </w:tr>
      <w:tr w:rsidR="00E203BC" w:rsidTr="00D3673D">
        <w:trPr>
          <w:gridAfter w:val="1"/>
          <w:wAfter w:w="7" w:type="dxa"/>
          <w:cantSplit/>
        </w:trPr>
        <w:tc>
          <w:tcPr>
            <w:tcW w:w="2830" w:type="dxa"/>
            <w:tcMar>
              <w:right w:w="57" w:type="dxa"/>
            </w:tcMar>
            <w:vAlign w:val="center"/>
          </w:tcPr>
          <w:p w:rsidR="00E203BC" w:rsidRPr="008A427A" w:rsidRDefault="00E203BC" w:rsidP="00E203BC">
            <w:r w:rsidRPr="008A427A">
              <w:lastRenderedPageBreak/>
              <w:t>Bamber Bridge - Regeneration</w:t>
            </w:r>
          </w:p>
        </w:tc>
        <w:tc>
          <w:tcPr>
            <w:tcW w:w="1247" w:type="dxa"/>
            <w:tcMar>
              <w:right w:w="113" w:type="dxa"/>
            </w:tcMar>
            <w:vAlign w:val="center"/>
          </w:tcPr>
          <w:p w:rsidR="00E203BC" w:rsidRPr="00BD5F17" w:rsidRDefault="00E203BC" w:rsidP="00E203BC">
            <w:pPr>
              <w:jc w:val="right"/>
            </w:pPr>
            <w:r w:rsidRPr="00BD5F17">
              <w:t xml:space="preserve">40,574 </w:t>
            </w:r>
          </w:p>
        </w:tc>
        <w:tc>
          <w:tcPr>
            <w:tcW w:w="1247" w:type="dxa"/>
            <w:tcBorders>
              <w:top w:val="nil"/>
              <w:left w:val="single" w:sz="4" w:space="0" w:color="BFBFBF"/>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 xml:space="preserve">5,785 </w:t>
            </w:r>
          </w:p>
        </w:tc>
        <w:tc>
          <w:tcPr>
            <w:tcW w:w="1247" w:type="dxa"/>
            <w:tcBorders>
              <w:top w:val="nil"/>
              <w:left w:val="single" w:sz="4" w:space="0" w:color="BFBFBF"/>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 xml:space="preserve">40,574 </w:t>
            </w:r>
          </w:p>
        </w:tc>
        <w:tc>
          <w:tcPr>
            <w:tcW w:w="1247" w:type="dxa"/>
            <w:tcBorders>
              <w:top w:val="nil"/>
              <w:left w:val="nil"/>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 xml:space="preserve">-  </w:t>
            </w:r>
          </w:p>
        </w:tc>
        <w:tc>
          <w:tcPr>
            <w:tcW w:w="1247" w:type="dxa"/>
            <w:tcMar>
              <w:right w:w="113" w:type="dxa"/>
            </w:tcMar>
          </w:tcPr>
          <w:p w:rsidR="00E203BC" w:rsidRPr="0061567B" w:rsidRDefault="00E203BC" w:rsidP="00E203BC"/>
        </w:tc>
        <w:tc>
          <w:tcPr>
            <w:tcW w:w="6634" w:type="dxa"/>
            <w:tcMar>
              <w:right w:w="57" w:type="dxa"/>
            </w:tcMar>
            <w:vAlign w:val="center"/>
          </w:tcPr>
          <w:p w:rsidR="00E203BC" w:rsidRPr="0061567B" w:rsidRDefault="00E203BC" w:rsidP="00E203BC">
            <w:r w:rsidRPr="0061567B">
              <w:t>This scheme has continued from 17-18 and is funded by City Deal.  Progress is dependent on works being completed by LCC, which is expected in Q4.</w:t>
            </w:r>
          </w:p>
        </w:tc>
      </w:tr>
      <w:tr w:rsidR="00E203BC" w:rsidTr="004C6041">
        <w:trPr>
          <w:gridAfter w:val="1"/>
          <w:wAfter w:w="7" w:type="dxa"/>
          <w:cantSplit/>
        </w:trPr>
        <w:tc>
          <w:tcPr>
            <w:tcW w:w="2830" w:type="dxa"/>
            <w:tcMar>
              <w:right w:w="57" w:type="dxa"/>
            </w:tcMar>
            <w:vAlign w:val="center"/>
          </w:tcPr>
          <w:p w:rsidR="00E203BC" w:rsidRPr="008A427A" w:rsidRDefault="00E203BC" w:rsidP="00E203BC">
            <w:r w:rsidRPr="008A427A">
              <w:t>Lostock Hall arts academy trail</w:t>
            </w:r>
          </w:p>
        </w:tc>
        <w:tc>
          <w:tcPr>
            <w:tcW w:w="1247" w:type="dxa"/>
            <w:tcMar>
              <w:right w:w="113" w:type="dxa"/>
            </w:tcMar>
            <w:vAlign w:val="center"/>
          </w:tcPr>
          <w:p w:rsidR="00E203BC" w:rsidRPr="00BD5F17" w:rsidRDefault="00E203BC" w:rsidP="00E203BC">
            <w:pPr>
              <w:jc w:val="right"/>
            </w:pPr>
            <w:r w:rsidRPr="00BD5F17">
              <w:t xml:space="preserve">7,000 </w:t>
            </w:r>
          </w:p>
        </w:tc>
        <w:tc>
          <w:tcPr>
            <w:tcW w:w="1247" w:type="dxa"/>
            <w:tcBorders>
              <w:top w:val="nil"/>
              <w:left w:val="single" w:sz="4" w:space="0" w:color="BFBFBF"/>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 xml:space="preserve">814 </w:t>
            </w:r>
          </w:p>
        </w:tc>
        <w:tc>
          <w:tcPr>
            <w:tcW w:w="1247" w:type="dxa"/>
            <w:tcBorders>
              <w:top w:val="nil"/>
              <w:left w:val="single" w:sz="4" w:space="0" w:color="BFBFBF"/>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 xml:space="preserve">2,000 </w:t>
            </w:r>
          </w:p>
        </w:tc>
        <w:tc>
          <w:tcPr>
            <w:tcW w:w="1247" w:type="dxa"/>
            <w:tcBorders>
              <w:top w:val="nil"/>
              <w:left w:val="nil"/>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 xml:space="preserve">-  </w:t>
            </w:r>
          </w:p>
        </w:tc>
        <w:tc>
          <w:tcPr>
            <w:tcW w:w="1247" w:type="dxa"/>
            <w:tcMar>
              <w:right w:w="113" w:type="dxa"/>
            </w:tcMar>
            <w:vAlign w:val="center"/>
          </w:tcPr>
          <w:p w:rsidR="00E203BC" w:rsidRDefault="002F5E04" w:rsidP="00E203BC">
            <w:pPr>
              <w:jc w:val="right"/>
              <w:outlineLvl w:val="0"/>
              <w:rPr>
                <w:rFonts w:ascii="Calibri" w:hAnsi="Calibri"/>
              </w:rPr>
            </w:pPr>
            <w:r>
              <w:rPr>
                <w:rFonts w:ascii="Calibri" w:hAnsi="Calibri"/>
              </w:rPr>
              <w:t>(</w:t>
            </w:r>
            <w:r w:rsidR="00E203BC">
              <w:rPr>
                <w:rFonts w:ascii="Calibri" w:hAnsi="Calibri"/>
              </w:rPr>
              <w:t>5,000</w:t>
            </w:r>
            <w:r>
              <w:rPr>
                <w:rFonts w:ascii="Calibri" w:hAnsi="Calibri"/>
              </w:rPr>
              <w:t>)</w:t>
            </w:r>
            <w:r w:rsidR="00E203BC">
              <w:rPr>
                <w:rFonts w:ascii="Calibri" w:hAnsi="Calibri"/>
              </w:rPr>
              <w:t xml:space="preserve"> </w:t>
            </w:r>
          </w:p>
        </w:tc>
        <w:tc>
          <w:tcPr>
            <w:tcW w:w="6634" w:type="dxa"/>
            <w:tcMar>
              <w:right w:w="57" w:type="dxa"/>
            </w:tcMar>
            <w:vAlign w:val="center"/>
          </w:tcPr>
          <w:p w:rsidR="00E203BC" w:rsidRPr="0061567B" w:rsidRDefault="00E203BC" w:rsidP="00E203BC">
            <w:r w:rsidRPr="0061567B">
              <w:t>The work for this scheme has been scaled back due to vandalism and it is expected to be much lower than the budget.</w:t>
            </w:r>
          </w:p>
        </w:tc>
      </w:tr>
      <w:tr w:rsidR="00E203BC" w:rsidTr="004C6041">
        <w:trPr>
          <w:gridAfter w:val="1"/>
          <w:wAfter w:w="7" w:type="dxa"/>
          <w:cantSplit/>
        </w:trPr>
        <w:tc>
          <w:tcPr>
            <w:tcW w:w="2830" w:type="dxa"/>
            <w:tcMar>
              <w:right w:w="57" w:type="dxa"/>
            </w:tcMar>
            <w:vAlign w:val="center"/>
          </w:tcPr>
          <w:p w:rsidR="00E203BC" w:rsidRPr="008A427A" w:rsidRDefault="00E203BC" w:rsidP="00E203BC">
            <w:r w:rsidRPr="008A427A">
              <w:t>McNamara Memorial</w:t>
            </w:r>
          </w:p>
        </w:tc>
        <w:tc>
          <w:tcPr>
            <w:tcW w:w="1247" w:type="dxa"/>
            <w:tcMar>
              <w:right w:w="113" w:type="dxa"/>
            </w:tcMar>
            <w:vAlign w:val="center"/>
          </w:tcPr>
          <w:p w:rsidR="00E203BC" w:rsidRPr="00BD5F17" w:rsidRDefault="00E203BC" w:rsidP="00E203BC">
            <w:pPr>
              <w:jc w:val="right"/>
            </w:pPr>
            <w:r w:rsidRPr="00BD5F17">
              <w:t xml:space="preserve">7,500 </w:t>
            </w:r>
          </w:p>
        </w:tc>
        <w:tc>
          <w:tcPr>
            <w:tcW w:w="1247" w:type="dxa"/>
            <w:tcBorders>
              <w:top w:val="nil"/>
              <w:left w:val="single" w:sz="4" w:space="0" w:color="BFBFBF"/>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 xml:space="preserve">3,734 </w:t>
            </w:r>
          </w:p>
        </w:tc>
        <w:tc>
          <w:tcPr>
            <w:tcW w:w="1247" w:type="dxa"/>
            <w:tcBorders>
              <w:top w:val="nil"/>
              <w:left w:val="single" w:sz="4" w:space="0" w:color="BFBFBF"/>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 xml:space="preserve">7,000 </w:t>
            </w:r>
          </w:p>
        </w:tc>
        <w:tc>
          <w:tcPr>
            <w:tcW w:w="1247" w:type="dxa"/>
            <w:tcBorders>
              <w:top w:val="nil"/>
              <w:left w:val="nil"/>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 xml:space="preserve">-  </w:t>
            </w:r>
          </w:p>
        </w:tc>
        <w:tc>
          <w:tcPr>
            <w:tcW w:w="1247" w:type="dxa"/>
            <w:tcMar>
              <w:right w:w="113" w:type="dxa"/>
            </w:tcMar>
            <w:vAlign w:val="center"/>
          </w:tcPr>
          <w:p w:rsidR="00E203BC" w:rsidRDefault="002F5E04" w:rsidP="00E203BC">
            <w:pPr>
              <w:jc w:val="right"/>
              <w:outlineLvl w:val="0"/>
              <w:rPr>
                <w:rFonts w:ascii="Calibri" w:hAnsi="Calibri"/>
              </w:rPr>
            </w:pPr>
            <w:r>
              <w:rPr>
                <w:rFonts w:ascii="Calibri" w:hAnsi="Calibri"/>
              </w:rPr>
              <w:t>(</w:t>
            </w:r>
            <w:r w:rsidR="00E203BC">
              <w:rPr>
                <w:rFonts w:ascii="Calibri" w:hAnsi="Calibri"/>
              </w:rPr>
              <w:t>500</w:t>
            </w:r>
            <w:r>
              <w:rPr>
                <w:rFonts w:ascii="Calibri" w:hAnsi="Calibri"/>
              </w:rPr>
              <w:t>)</w:t>
            </w:r>
            <w:r w:rsidR="00E203BC">
              <w:rPr>
                <w:rFonts w:ascii="Calibri" w:hAnsi="Calibri"/>
              </w:rPr>
              <w:t xml:space="preserve"> </w:t>
            </w:r>
          </w:p>
        </w:tc>
        <w:tc>
          <w:tcPr>
            <w:tcW w:w="6634" w:type="dxa"/>
            <w:tcMar>
              <w:right w:w="57" w:type="dxa"/>
            </w:tcMar>
            <w:vAlign w:val="center"/>
          </w:tcPr>
          <w:p w:rsidR="00E203BC" w:rsidRPr="0061567B" w:rsidRDefault="00E203BC" w:rsidP="00E203BC">
            <w:r w:rsidRPr="0061567B">
              <w:t>Works are expected to be complete in Q3 and be slightly below budget.</w:t>
            </w:r>
          </w:p>
        </w:tc>
      </w:tr>
      <w:tr w:rsidR="00E203BC" w:rsidTr="004C6041">
        <w:trPr>
          <w:gridAfter w:val="1"/>
          <w:wAfter w:w="7" w:type="dxa"/>
          <w:cantSplit/>
        </w:trPr>
        <w:tc>
          <w:tcPr>
            <w:tcW w:w="2830" w:type="dxa"/>
            <w:tcMar>
              <w:right w:w="57" w:type="dxa"/>
            </w:tcMar>
            <w:vAlign w:val="center"/>
          </w:tcPr>
          <w:p w:rsidR="00E203BC" w:rsidRPr="008A427A" w:rsidRDefault="00E203BC" w:rsidP="00E203BC">
            <w:r w:rsidRPr="008A427A">
              <w:t>Priory Park</w:t>
            </w:r>
          </w:p>
        </w:tc>
        <w:tc>
          <w:tcPr>
            <w:tcW w:w="1247" w:type="dxa"/>
            <w:tcMar>
              <w:right w:w="113" w:type="dxa"/>
            </w:tcMar>
            <w:vAlign w:val="center"/>
          </w:tcPr>
          <w:p w:rsidR="00E203BC" w:rsidRPr="00BD5F17" w:rsidRDefault="00E203BC" w:rsidP="00E203BC">
            <w:pPr>
              <w:jc w:val="right"/>
            </w:pPr>
            <w:r w:rsidRPr="00BD5F17">
              <w:t xml:space="preserve">12,000 </w:t>
            </w:r>
          </w:p>
        </w:tc>
        <w:tc>
          <w:tcPr>
            <w:tcW w:w="1247" w:type="dxa"/>
            <w:tcBorders>
              <w:top w:val="nil"/>
              <w:left w:val="single" w:sz="4" w:space="0" w:color="BFBFBF"/>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 xml:space="preserve">-  </w:t>
            </w:r>
          </w:p>
        </w:tc>
        <w:tc>
          <w:tcPr>
            <w:tcW w:w="1247" w:type="dxa"/>
            <w:tcBorders>
              <w:top w:val="nil"/>
              <w:left w:val="single" w:sz="4" w:space="0" w:color="BFBFBF"/>
              <w:bottom w:val="single" w:sz="4" w:space="0" w:color="BFBFBF"/>
              <w:right w:val="single" w:sz="4" w:space="0" w:color="BFBFBF"/>
            </w:tcBorders>
            <w:shd w:val="clear" w:color="auto" w:fill="auto"/>
            <w:tcMar>
              <w:right w:w="113" w:type="dxa"/>
            </w:tcMar>
            <w:vAlign w:val="center"/>
          </w:tcPr>
          <w:p w:rsidR="00E203BC" w:rsidRDefault="009D792E" w:rsidP="00E203BC">
            <w:pPr>
              <w:jc w:val="right"/>
              <w:outlineLvl w:val="0"/>
              <w:rPr>
                <w:rFonts w:ascii="Calibri" w:hAnsi="Calibri"/>
              </w:rPr>
            </w:pPr>
            <w:r>
              <w:rPr>
                <w:rFonts w:ascii="Calibri" w:hAnsi="Calibri"/>
              </w:rPr>
              <w:t>12,000</w:t>
            </w:r>
            <w:r w:rsidR="00E203BC">
              <w:rPr>
                <w:rFonts w:ascii="Calibri" w:hAnsi="Calibri"/>
              </w:rPr>
              <w:t xml:space="preserve">  </w:t>
            </w:r>
          </w:p>
        </w:tc>
        <w:tc>
          <w:tcPr>
            <w:tcW w:w="1247" w:type="dxa"/>
            <w:tcBorders>
              <w:top w:val="nil"/>
              <w:left w:val="nil"/>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 xml:space="preserve">-  </w:t>
            </w:r>
          </w:p>
        </w:tc>
        <w:tc>
          <w:tcPr>
            <w:tcW w:w="1247" w:type="dxa"/>
            <w:tcMar>
              <w:right w:w="113" w:type="dxa"/>
            </w:tcMar>
            <w:vAlign w:val="center"/>
          </w:tcPr>
          <w:p w:rsidR="00E203BC" w:rsidRDefault="009D792E" w:rsidP="009D792E">
            <w:pPr>
              <w:jc w:val="right"/>
              <w:outlineLvl w:val="0"/>
              <w:rPr>
                <w:rFonts w:ascii="Calibri" w:hAnsi="Calibri"/>
              </w:rPr>
            </w:pPr>
            <w:r>
              <w:rPr>
                <w:rFonts w:ascii="Calibri" w:hAnsi="Calibri"/>
              </w:rPr>
              <w:t>-</w:t>
            </w:r>
            <w:r w:rsidR="00E203BC">
              <w:rPr>
                <w:rFonts w:ascii="Calibri" w:hAnsi="Calibri"/>
              </w:rPr>
              <w:t xml:space="preserve"> </w:t>
            </w:r>
          </w:p>
        </w:tc>
        <w:tc>
          <w:tcPr>
            <w:tcW w:w="6634" w:type="dxa"/>
            <w:shd w:val="clear" w:color="auto" w:fill="auto"/>
            <w:tcMar>
              <w:right w:w="57" w:type="dxa"/>
            </w:tcMar>
            <w:vAlign w:val="center"/>
          </w:tcPr>
          <w:p w:rsidR="00E203BC" w:rsidRPr="00DE5F4E" w:rsidRDefault="00E203BC" w:rsidP="00E203BC">
            <w:pPr>
              <w:spacing w:line="240" w:lineRule="auto"/>
              <w:outlineLvl w:val="0"/>
              <w:rPr>
                <w:rFonts w:ascii="Calibri" w:hAnsi="Calibri"/>
              </w:rPr>
            </w:pPr>
            <w:r>
              <w:rPr>
                <w:rFonts w:ascii="Calibri" w:hAnsi="Calibri"/>
              </w:rPr>
              <w:t>The project is programmed to start in Q4.</w:t>
            </w:r>
          </w:p>
        </w:tc>
      </w:tr>
      <w:tr w:rsidR="00E203BC" w:rsidTr="00BB2614">
        <w:trPr>
          <w:gridAfter w:val="1"/>
          <w:wAfter w:w="7" w:type="dxa"/>
          <w:cantSplit/>
        </w:trPr>
        <w:tc>
          <w:tcPr>
            <w:tcW w:w="2830" w:type="dxa"/>
            <w:tcMar>
              <w:right w:w="57" w:type="dxa"/>
            </w:tcMar>
            <w:vAlign w:val="center"/>
          </w:tcPr>
          <w:p w:rsidR="00E203BC" w:rsidRPr="00BB42B9" w:rsidRDefault="00E203BC" w:rsidP="00E203BC">
            <w:r w:rsidRPr="00BB42B9">
              <w:t>Lostock Hall Football Facility</w:t>
            </w:r>
          </w:p>
        </w:tc>
        <w:tc>
          <w:tcPr>
            <w:tcW w:w="1247" w:type="dxa"/>
            <w:tcMar>
              <w:right w:w="113" w:type="dxa"/>
            </w:tcMar>
            <w:vAlign w:val="center"/>
          </w:tcPr>
          <w:p w:rsidR="00E203BC" w:rsidRPr="00BD5F17" w:rsidRDefault="00E203BC" w:rsidP="00E203BC">
            <w:pPr>
              <w:jc w:val="right"/>
            </w:pPr>
            <w:r w:rsidRPr="00BD5F17">
              <w:t xml:space="preserve">150,000 </w:t>
            </w:r>
          </w:p>
        </w:tc>
        <w:tc>
          <w:tcPr>
            <w:tcW w:w="1247" w:type="dxa"/>
            <w:tcBorders>
              <w:top w:val="nil"/>
              <w:left w:val="single" w:sz="4" w:space="0" w:color="BFBFBF"/>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 xml:space="preserve">-  </w:t>
            </w:r>
          </w:p>
        </w:tc>
        <w:tc>
          <w:tcPr>
            <w:tcW w:w="1247" w:type="dxa"/>
            <w:tcBorders>
              <w:top w:val="nil"/>
              <w:left w:val="single" w:sz="4" w:space="0" w:color="BFBFBF"/>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 xml:space="preserve">-  </w:t>
            </w:r>
          </w:p>
        </w:tc>
        <w:tc>
          <w:tcPr>
            <w:tcW w:w="1247" w:type="dxa"/>
            <w:tcBorders>
              <w:top w:val="nil"/>
              <w:left w:val="nil"/>
              <w:bottom w:val="single" w:sz="4" w:space="0" w:color="BFBFBF"/>
              <w:right w:val="single" w:sz="4" w:space="0" w:color="BFBFBF"/>
            </w:tcBorders>
            <w:shd w:val="clear" w:color="auto" w:fill="auto"/>
            <w:tcMar>
              <w:right w:w="113" w:type="dxa"/>
            </w:tcMar>
            <w:vAlign w:val="center"/>
          </w:tcPr>
          <w:p w:rsidR="00E203BC" w:rsidRDefault="008C20B0" w:rsidP="00E203BC">
            <w:pPr>
              <w:jc w:val="right"/>
              <w:outlineLvl w:val="0"/>
              <w:rPr>
                <w:rFonts w:ascii="Calibri" w:hAnsi="Calibri"/>
              </w:rPr>
            </w:pPr>
            <w:r>
              <w:rPr>
                <w:rFonts w:ascii="Calibri" w:hAnsi="Calibri"/>
              </w:rPr>
              <w:t>(</w:t>
            </w:r>
            <w:r w:rsidR="00E203BC">
              <w:rPr>
                <w:rFonts w:ascii="Calibri" w:hAnsi="Calibri"/>
              </w:rPr>
              <w:t>150,000</w:t>
            </w:r>
            <w:r>
              <w:rPr>
                <w:rFonts w:ascii="Calibri" w:hAnsi="Calibri"/>
              </w:rPr>
              <w:t>)</w:t>
            </w:r>
            <w:r w:rsidR="00E203BC">
              <w:rPr>
                <w:rFonts w:ascii="Calibri" w:hAnsi="Calibri"/>
              </w:rPr>
              <w:t xml:space="preserve"> </w:t>
            </w:r>
          </w:p>
        </w:tc>
        <w:tc>
          <w:tcPr>
            <w:tcW w:w="1247" w:type="dxa"/>
            <w:tcMar>
              <w:right w:w="113" w:type="dxa"/>
            </w:tcMar>
            <w:vAlign w:val="center"/>
          </w:tcPr>
          <w:p w:rsidR="00E203BC" w:rsidRDefault="00E203BC" w:rsidP="00E203BC">
            <w:pPr>
              <w:jc w:val="right"/>
              <w:outlineLvl w:val="0"/>
              <w:rPr>
                <w:rFonts w:ascii="Calibri" w:hAnsi="Calibri"/>
              </w:rPr>
            </w:pPr>
            <w:r>
              <w:rPr>
                <w:rFonts w:ascii="Calibri" w:hAnsi="Calibri"/>
              </w:rPr>
              <w:t xml:space="preserve">-  </w:t>
            </w:r>
          </w:p>
        </w:tc>
        <w:tc>
          <w:tcPr>
            <w:tcW w:w="6634" w:type="dxa"/>
            <w:tcMar>
              <w:right w:w="57" w:type="dxa"/>
            </w:tcMar>
            <w:vAlign w:val="center"/>
          </w:tcPr>
          <w:p w:rsidR="00E203BC" w:rsidRPr="0061567B" w:rsidRDefault="00E203BC" w:rsidP="00E203BC">
            <w:r w:rsidRPr="0061567B">
              <w:t>Officers are working with the football club to evaluate options that will be within budget (s106 funded).  It may take several months to reach agreement over what works are appropriate and eligible for section 106 spending.</w:t>
            </w:r>
          </w:p>
        </w:tc>
      </w:tr>
      <w:tr w:rsidR="00E203BC" w:rsidTr="00404CF5">
        <w:trPr>
          <w:gridAfter w:val="1"/>
          <w:wAfter w:w="7" w:type="dxa"/>
          <w:cantSplit/>
        </w:trPr>
        <w:tc>
          <w:tcPr>
            <w:tcW w:w="2830" w:type="dxa"/>
            <w:tcMar>
              <w:right w:w="57" w:type="dxa"/>
            </w:tcMar>
            <w:vAlign w:val="center"/>
          </w:tcPr>
          <w:p w:rsidR="00E203BC" w:rsidRDefault="00E203BC" w:rsidP="00E203BC">
            <w:r w:rsidRPr="00BB42B9">
              <w:t>Walton-le-dale Community Centre car park refurbishment</w:t>
            </w:r>
          </w:p>
        </w:tc>
        <w:tc>
          <w:tcPr>
            <w:tcW w:w="1247" w:type="dxa"/>
            <w:tcMar>
              <w:right w:w="113" w:type="dxa"/>
            </w:tcMar>
            <w:vAlign w:val="center"/>
          </w:tcPr>
          <w:p w:rsidR="00E203BC" w:rsidRDefault="00E203BC" w:rsidP="00E203BC">
            <w:pPr>
              <w:jc w:val="right"/>
            </w:pPr>
            <w:r w:rsidRPr="00BD5F17">
              <w:t xml:space="preserve">8,980 </w:t>
            </w:r>
          </w:p>
        </w:tc>
        <w:tc>
          <w:tcPr>
            <w:tcW w:w="1247" w:type="dxa"/>
            <w:tcBorders>
              <w:top w:val="nil"/>
              <w:left w:val="single" w:sz="4" w:space="0" w:color="BFBFBF"/>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w:t>
            </w:r>
          </w:p>
        </w:tc>
        <w:tc>
          <w:tcPr>
            <w:tcW w:w="1247" w:type="dxa"/>
            <w:tcBorders>
              <w:top w:val="nil"/>
              <w:left w:val="single" w:sz="4" w:space="0" w:color="BFBFBF"/>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 xml:space="preserve">8,980 </w:t>
            </w:r>
          </w:p>
        </w:tc>
        <w:tc>
          <w:tcPr>
            <w:tcW w:w="1247" w:type="dxa"/>
            <w:tcBorders>
              <w:top w:val="nil"/>
              <w:left w:val="nil"/>
              <w:bottom w:val="single" w:sz="4" w:space="0" w:color="BFBFBF"/>
              <w:right w:val="single" w:sz="4" w:space="0" w:color="BFBFBF"/>
            </w:tcBorders>
            <w:shd w:val="clear" w:color="auto" w:fill="auto"/>
            <w:tcMar>
              <w:right w:w="113" w:type="dxa"/>
            </w:tcMar>
            <w:vAlign w:val="center"/>
          </w:tcPr>
          <w:p w:rsidR="00E203BC" w:rsidRDefault="00E203BC" w:rsidP="00E203BC">
            <w:pPr>
              <w:jc w:val="right"/>
              <w:outlineLvl w:val="0"/>
              <w:rPr>
                <w:rFonts w:ascii="Calibri" w:hAnsi="Calibri"/>
              </w:rPr>
            </w:pPr>
            <w:r>
              <w:rPr>
                <w:rFonts w:ascii="Calibri" w:hAnsi="Calibri"/>
              </w:rPr>
              <w:t xml:space="preserve">-  </w:t>
            </w:r>
          </w:p>
        </w:tc>
        <w:tc>
          <w:tcPr>
            <w:tcW w:w="1247" w:type="dxa"/>
            <w:tcMar>
              <w:right w:w="113" w:type="dxa"/>
            </w:tcMar>
            <w:vAlign w:val="center"/>
          </w:tcPr>
          <w:p w:rsidR="00E203BC" w:rsidRDefault="00E203BC" w:rsidP="00E203BC">
            <w:pPr>
              <w:jc w:val="right"/>
              <w:outlineLvl w:val="0"/>
              <w:rPr>
                <w:rFonts w:ascii="Calibri" w:hAnsi="Calibri"/>
              </w:rPr>
            </w:pPr>
            <w:r>
              <w:rPr>
                <w:rFonts w:ascii="Calibri" w:hAnsi="Calibri"/>
              </w:rPr>
              <w:t xml:space="preserve">-  </w:t>
            </w:r>
          </w:p>
        </w:tc>
        <w:tc>
          <w:tcPr>
            <w:tcW w:w="6634" w:type="dxa"/>
            <w:tcMar>
              <w:right w:w="57" w:type="dxa"/>
            </w:tcMar>
            <w:vAlign w:val="center"/>
          </w:tcPr>
          <w:p w:rsidR="00E203BC" w:rsidRDefault="00E203BC" w:rsidP="00E203BC">
            <w:r w:rsidRPr="0061567B">
              <w:t>The scheme was completed in 17-18 but a residual budget for potential drainage works was carried forward to 18-19.  By Q4 we will be in a position to know whether these works are required or not.</w:t>
            </w:r>
          </w:p>
        </w:tc>
      </w:tr>
      <w:tr w:rsidR="00E203BC" w:rsidTr="00D3673D">
        <w:trPr>
          <w:gridAfter w:val="1"/>
          <w:wAfter w:w="7" w:type="dxa"/>
          <w:cantSplit/>
        </w:trPr>
        <w:tc>
          <w:tcPr>
            <w:tcW w:w="2830" w:type="dxa"/>
            <w:tcBorders>
              <w:bottom w:val="single" w:sz="4" w:space="0" w:color="auto"/>
              <w:right w:val="nil"/>
            </w:tcBorders>
            <w:tcMar>
              <w:right w:w="57" w:type="dxa"/>
            </w:tcMar>
            <w:vAlign w:val="center"/>
          </w:tcPr>
          <w:p w:rsidR="00E203BC" w:rsidRPr="00B923E6" w:rsidRDefault="00E203BC" w:rsidP="00E203BC"/>
        </w:tc>
        <w:tc>
          <w:tcPr>
            <w:tcW w:w="1247" w:type="dxa"/>
            <w:tcBorders>
              <w:left w:val="nil"/>
              <w:bottom w:val="single" w:sz="4" w:space="0" w:color="auto"/>
              <w:right w:val="nil"/>
            </w:tcBorders>
            <w:tcMar>
              <w:right w:w="113" w:type="dxa"/>
            </w:tcMar>
            <w:vAlign w:val="center"/>
          </w:tcPr>
          <w:p w:rsidR="00E203BC" w:rsidRDefault="00E203BC" w:rsidP="00E203BC">
            <w:pPr>
              <w:jc w:val="right"/>
            </w:pPr>
          </w:p>
        </w:tc>
        <w:tc>
          <w:tcPr>
            <w:tcW w:w="1247" w:type="dxa"/>
            <w:tcBorders>
              <w:left w:val="nil"/>
              <w:bottom w:val="single" w:sz="4" w:space="0" w:color="auto"/>
              <w:right w:val="nil"/>
            </w:tcBorders>
            <w:tcMar>
              <w:right w:w="113" w:type="dxa"/>
            </w:tcMar>
            <w:vAlign w:val="center"/>
          </w:tcPr>
          <w:p w:rsidR="00E203BC" w:rsidRDefault="00E203BC" w:rsidP="00E203BC">
            <w:pPr>
              <w:jc w:val="right"/>
            </w:pPr>
          </w:p>
        </w:tc>
        <w:tc>
          <w:tcPr>
            <w:tcW w:w="1247" w:type="dxa"/>
            <w:tcBorders>
              <w:left w:val="nil"/>
              <w:bottom w:val="single" w:sz="4" w:space="0" w:color="auto"/>
              <w:right w:val="nil"/>
            </w:tcBorders>
            <w:tcMar>
              <w:right w:w="113" w:type="dxa"/>
            </w:tcMar>
            <w:vAlign w:val="center"/>
          </w:tcPr>
          <w:p w:rsidR="00E203BC" w:rsidRDefault="00E203BC" w:rsidP="00E203BC">
            <w:pPr>
              <w:jc w:val="right"/>
            </w:pPr>
          </w:p>
        </w:tc>
        <w:tc>
          <w:tcPr>
            <w:tcW w:w="1247" w:type="dxa"/>
            <w:tcBorders>
              <w:left w:val="nil"/>
              <w:bottom w:val="single" w:sz="4" w:space="0" w:color="auto"/>
              <w:right w:val="nil"/>
            </w:tcBorders>
            <w:tcMar>
              <w:right w:w="113" w:type="dxa"/>
            </w:tcMar>
            <w:vAlign w:val="center"/>
          </w:tcPr>
          <w:p w:rsidR="00E203BC" w:rsidRDefault="00E203BC" w:rsidP="00E203BC">
            <w:pPr>
              <w:jc w:val="right"/>
            </w:pPr>
          </w:p>
        </w:tc>
        <w:tc>
          <w:tcPr>
            <w:tcW w:w="1247" w:type="dxa"/>
            <w:tcBorders>
              <w:left w:val="nil"/>
              <w:bottom w:val="single" w:sz="4" w:space="0" w:color="auto"/>
              <w:right w:val="nil"/>
            </w:tcBorders>
            <w:tcMar>
              <w:right w:w="113" w:type="dxa"/>
            </w:tcMar>
          </w:tcPr>
          <w:p w:rsidR="00E203BC" w:rsidRDefault="00E203BC" w:rsidP="00E203BC"/>
        </w:tc>
        <w:tc>
          <w:tcPr>
            <w:tcW w:w="6634" w:type="dxa"/>
            <w:tcBorders>
              <w:left w:val="nil"/>
              <w:bottom w:val="single" w:sz="4" w:space="0" w:color="auto"/>
            </w:tcBorders>
            <w:tcMar>
              <w:right w:w="57" w:type="dxa"/>
            </w:tcMar>
            <w:vAlign w:val="center"/>
          </w:tcPr>
          <w:p w:rsidR="00E203BC" w:rsidRDefault="00E203BC" w:rsidP="00E203BC"/>
        </w:tc>
      </w:tr>
      <w:tr w:rsidR="00E203BC" w:rsidRPr="00162442" w:rsidTr="0030727D">
        <w:trPr>
          <w:gridAfter w:val="1"/>
          <w:wAfter w:w="7" w:type="dxa"/>
          <w:cantSplit/>
        </w:trPr>
        <w:tc>
          <w:tcPr>
            <w:tcW w:w="2830" w:type="dxa"/>
            <w:tcBorders>
              <w:top w:val="single" w:sz="4" w:space="0" w:color="auto"/>
              <w:bottom w:val="single" w:sz="4" w:space="0" w:color="auto"/>
            </w:tcBorders>
            <w:tcMar>
              <w:right w:w="57" w:type="dxa"/>
            </w:tcMar>
            <w:vAlign w:val="center"/>
          </w:tcPr>
          <w:p w:rsidR="00E203BC" w:rsidRPr="00162442" w:rsidRDefault="00E203BC" w:rsidP="00E203BC">
            <w:pPr>
              <w:rPr>
                <w:b/>
                <w:sz w:val="32"/>
              </w:rPr>
            </w:pPr>
            <w:r w:rsidRPr="00162442">
              <w:rPr>
                <w:b/>
                <w:sz w:val="32"/>
              </w:rPr>
              <w:t>Grand Total</w:t>
            </w:r>
          </w:p>
        </w:tc>
        <w:tc>
          <w:tcPr>
            <w:tcW w:w="1247" w:type="dxa"/>
            <w:tcBorders>
              <w:top w:val="single" w:sz="4" w:space="0" w:color="auto"/>
              <w:bottom w:val="single" w:sz="4" w:space="0" w:color="auto"/>
            </w:tcBorders>
            <w:tcMar>
              <w:right w:w="113" w:type="dxa"/>
            </w:tcMar>
            <w:vAlign w:val="center"/>
          </w:tcPr>
          <w:p w:rsidR="00E203BC" w:rsidRPr="00162442" w:rsidRDefault="00E203BC" w:rsidP="008C4684">
            <w:pPr>
              <w:jc w:val="right"/>
              <w:rPr>
                <w:b/>
              </w:rPr>
            </w:pPr>
            <w:r>
              <w:rPr>
                <w:b/>
              </w:rPr>
              <w:t>8,</w:t>
            </w:r>
            <w:r w:rsidR="008C4684">
              <w:rPr>
                <w:b/>
              </w:rPr>
              <w:t>759</w:t>
            </w:r>
            <w:r>
              <w:rPr>
                <w:b/>
              </w:rPr>
              <w:t>,</w:t>
            </w:r>
            <w:r w:rsidR="008C4684">
              <w:rPr>
                <w:b/>
              </w:rPr>
              <w:t>970</w:t>
            </w:r>
          </w:p>
        </w:tc>
        <w:tc>
          <w:tcPr>
            <w:tcW w:w="1247" w:type="dxa"/>
            <w:tcBorders>
              <w:top w:val="single" w:sz="4" w:space="0" w:color="auto"/>
              <w:bottom w:val="single" w:sz="4" w:space="0" w:color="auto"/>
            </w:tcBorders>
            <w:tcMar>
              <w:right w:w="113" w:type="dxa"/>
            </w:tcMar>
            <w:vAlign w:val="center"/>
          </w:tcPr>
          <w:p w:rsidR="00E203BC" w:rsidRPr="00162442" w:rsidRDefault="00E203BC" w:rsidP="00E203BC">
            <w:pPr>
              <w:jc w:val="right"/>
              <w:rPr>
                <w:b/>
              </w:rPr>
            </w:pPr>
            <w:r>
              <w:rPr>
                <w:b/>
              </w:rPr>
              <w:t>1,879,686</w:t>
            </w:r>
          </w:p>
        </w:tc>
        <w:tc>
          <w:tcPr>
            <w:tcW w:w="1247" w:type="dxa"/>
            <w:tcBorders>
              <w:top w:val="single" w:sz="4" w:space="0" w:color="auto"/>
              <w:bottom w:val="single" w:sz="4" w:space="0" w:color="auto"/>
            </w:tcBorders>
            <w:tcMar>
              <w:right w:w="113" w:type="dxa"/>
            </w:tcMar>
            <w:vAlign w:val="center"/>
          </w:tcPr>
          <w:p w:rsidR="00E203BC" w:rsidRPr="00162442" w:rsidRDefault="008C20B0" w:rsidP="00FA3E22">
            <w:pPr>
              <w:jc w:val="right"/>
              <w:rPr>
                <w:b/>
              </w:rPr>
            </w:pPr>
            <w:r>
              <w:rPr>
                <w:b/>
              </w:rPr>
              <w:t>7</w:t>
            </w:r>
            <w:r w:rsidR="00E203BC">
              <w:rPr>
                <w:b/>
              </w:rPr>
              <w:t>,</w:t>
            </w:r>
            <w:r w:rsidR="00FA3E22">
              <w:rPr>
                <w:b/>
              </w:rPr>
              <w:t>751</w:t>
            </w:r>
            <w:r w:rsidR="00E203BC">
              <w:rPr>
                <w:b/>
              </w:rPr>
              <w:t>,</w:t>
            </w:r>
            <w:r w:rsidR="00FA3E22">
              <w:rPr>
                <w:b/>
              </w:rPr>
              <w:t>629</w:t>
            </w:r>
          </w:p>
        </w:tc>
        <w:tc>
          <w:tcPr>
            <w:tcW w:w="1247" w:type="dxa"/>
            <w:tcBorders>
              <w:top w:val="single" w:sz="4" w:space="0" w:color="auto"/>
              <w:bottom w:val="single" w:sz="4" w:space="0" w:color="auto"/>
            </w:tcBorders>
            <w:tcMar>
              <w:right w:w="113" w:type="dxa"/>
            </w:tcMar>
            <w:vAlign w:val="center"/>
          </w:tcPr>
          <w:p w:rsidR="00E203BC" w:rsidRPr="00162442" w:rsidRDefault="008C20B0" w:rsidP="00FA3E22">
            <w:pPr>
              <w:jc w:val="right"/>
              <w:rPr>
                <w:b/>
              </w:rPr>
            </w:pPr>
            <w:r>
              <w:rPr>
                <w:b/>
              </w:rPr>
              <w:t>(</w:t>
            </w:r>
            <w:r w:rsidR="00FA3E22">
              <w:rPr>
                <w:b/>
              </w:rPr>
              <w:t>971</w:t>
            </w:r>
            <w:r w:rsidR="00E203BC">
              <w:rPr>
                <w:b/>
              </w:rPr>
              <w:t>,</w:t>
            </w:r>
            <w:r w:rsidR="00FA3E22">
              <w:rPr>
                <w:b/>
              </w:rPr>
              <w:t>963</w:t>
            </w:r>
            <w:r>
              <w:rPr>
                <w:b/>
              </w:rPr>
              <w:t>)</w:t>
            </w:r>
          </w:p>
        </w:tc>
        <w:tc>
          <w:tcPr>
            <w:tcW w:w="1247" w:type="dxa"/>
            <w:tcBorders>
              <w:top w:val="single" w:sz="4" w:space="0" w:color="auto"/>
              <w:bottom w:val="single" w:sz="4" w:space="0" w:color="auto"/>
            </w:tcBorders>
            <w:tcMar>
              <w:right w:w="113" w:type="dxa"/>
            </w:tcMar>
            <w:vAlign w:val="center"/>
          </w:tcPr>
          <w:p w:rsidR="00E203BC" w:rsidRPr="00162442" w:rsidRDefault="002F5E04" w:rsidP="008C20B0">
            <w:pPr>
              <w:jc w:val="right"/>
              <w:rPr>
                <w:b/>
              </w:rPr>
            </w:pPr>
            <w:r>
              <w:rPr>
                <w:b/>
              </w:rPr>
              <w:t>(</w:t>
            </w:r>
            <w:r w:rsidR="008C20B0">
              <w:rPr>
                <w:b/>
              </w:rPr>
              <w:t>36</w:t>
            </w:r>
            <w:r w:rsidR="00E203BC">
              <w:rPr>
                <w:b/>
              </w:rPr>
              <w:t>,378</w:t>
            </w:r>
            <w:r>
              <w:rPr>
                <w:b/>
              </w:rPr>
              <w:t>)</w:t>
            </w:r>
          </w:p>
        </w:tc>
        <w:tc>
          <w:tcPr>
            <w:tcW w:w="6634" w:type="dxa"/>
            <w:tcBorders>
              <w:top w:val="single" w:sz="4" w:space="0" w:color="auto"/>
              <w:bottom w:val="single" w:sz="4" w:space="0" w:color="auto"/>
            </w:tcBorders>
            <w:tcMar>
              <w:right w:w="57" w:type="dxa"/>
            </w:tcMar>
            <w:vAlign w:val="center"/>
          </w:tcPr>
          <w:p w:rsidR="00E203BC" w:rsidRPr="00162442" w:rsidRDefault="00E203BC" w:rsidP="00E203BC">
            <w:pPr>
              <w:rPr>
                <w:b/>
              </w:rPr>
            </w:pPr>
          </w:p>
        </w:tc>
      </w:tr>
    </w:tbl>
    <w:p w:rsidR="003F4AD6" w:rsidRDefault="003F4AD6"/>
    <w:sectPr w:rsidR="003F4AD6" w:rsidSect="00581729">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77"/>
    <w:rsid w:val="00025395"/>
    <w:rsid w:val="0008471A"/>
    <w:rsid w:val="000C72AF"/>
    <w:rsid w:val="00126032"/>
    <w:rsid w:val="001559B6"/>
    <w:rsid w:val="00162442"/>
    <w:rsid w:val="001E66FA"/>
    <w:rsid w:val="001F7B4C"/>
    <w:rsid w:val="002000B7"/>
    <w:rsid w:val="00214C43"/>
    <w:rsid w:val="002210F5"/>
    <w:rsid w:val="00226377"/>
    <w:rsid w:val="00252766"/>
    <w:rsid w:val="002F5E04"/>
    <w:rsid w:val="003029B4"/>
    <w:rsid w:val="00341B6B"/>
    <w:rsid w:val="00354CD3"/>
    <w:rsid w:val="00357D5E"/>
    <w:rsid w:val="00377923"/>
    <w:rsid w:val="003F4AD6"/>
    <w:rsid w:val="00436B3A"/>
    <w:rsid w:val="004E1FF4"/>
    <w:rsid w:val="0055134B"/>
    <w:rsid w:val="00581729"/>
    <w:rsid w:val="00611F31"/>
    <w:rsid w:val="00621C35"/>
    <w:rsid w:val="006300BC"/>
    <w:rsid w:val="00630519"/>
    <w:rsid w:val="006D7C07"/>
    <w:rsid w:val="00721EFF"/>
    <w:rsid w:val="00826667"/>
    <w:rsid w:val="008C20B0"/>
    <w:rsid w:val="008C4684"/>
    <w:rsid w:val="008C7484"/>
    <w:rsid w:val="00983BFC"/>
    <w:rsid w:val="009B34B4"/>
    <w:rsid w:val="009D792E"/>
    <w:rsid w:val="00AC5F27"/>
    <w:rsid w:val="00AE485A"/>
    <w:rsid w:val="00B1073C"/>
    <w:rsid w:val="00B42178"/>
    <w:rsid w:val="00B801D3"/>
    <w:rsid w:val="00B9628D"/>
    <w:rsid w:val="00BA5471"/>
    <w:rsid w:val="00C916F1"/>
    <w:rsid w:val="00CC0B4C"/>
    <w:rsid w:val="00CC7C23"/>
    <w:rsid w:val="00D3673D"/>
    <w:rsid w:val="00D910AB"/>
    <w:rsid w:val="00DA2D95"/>
    <w:rsid w:val="00DC23DF"/>
    <w:rsid w:val="00DE5F4E"/>
    <w:rsid w:val="00E14175"/>
    <w:rsid w:val="00E203BC"/>
    <w:rsid w:val="00E47C3A"/>
    <w:rsid w:val="00F605CF"/>
    <w:rsid w:val="00F61264"/>
    <w:rsid w:val="00F61348"/>
    <w:rsid w:val="00FA3E22"/>
    <w:rsid w:val="00FB434E"/>
    <w:rsid w:val="00FC7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6FFE3-A5C4-47FB-BE41-92915D6C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032"/>
    <w:pPr>
      <w:spacing w:after="0" w:line="288" w:lineRule="auto"/>
    </w:pPr>
  </w:style>
  <w:style w:type="paragraph" w:styleId="Heading1">
    <w:name w:val="heading 1"/>
    <w:basedOn w:val="Normal"/>
    <w:next w:val="Normal"/>
    <w:link w:val="Heading1Char"/>
    <w:uiPriority w:val="9"/>
    <w:qFormat/>
    <w:rsid w:val="00DC23DF"/>
    <w:pPr>
      <w:outlineLvl w:val="0"/>
    </w:pPr>
    <w:rPr>
      <w:b/>
      <w:color w:val="0070C0"/>
      <w:sz w:val="32"/>
      <w:u w:val="single"/>
    </w:rPr>
  </w:style>
  <w:style w:type="paragraph" w:styleId="Heading2">
    <w:name w:val="heading 2"/>
    <w:basedOn w:val="Normal"/>
    <w:next w:val="Normal"/>
    <w:link w:val="Heading2Char"/>
    <w:uiPriority w:val="9"/>
    <w:unhideWhenUsed/>
    <w:qFormat/>
    <w:rsid w:val="00DC23DF"/>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6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23DF"/>
    <w:rPr>
      <w:b/>
      <w:color w:val="0070C0"/>
      <w:sz w:val="32"/>
      <w:u w:val="single"/>
    </w:rPr>
  </w:style>
  <w:style w:type="character" w:customStyle="1" w:styleId="Heading2Char">
    <w:name w:val="Heading 2 Char"/>
    <w:basedOn w:val="DefaultParagraphFont"/>
    <w:link w:val="Heading2"/>
    <w:uiPriority w:val="9"/>
    <w:rsid w:val="00DC23D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58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6</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McNulty, James</dc:creator>
  <cp:keywords/>
  <dc:description/>
  <cp:lastModifiedBy>Blundell, Jane</cp:lastModifiedBy>
  <cp:revision>20</cp:revision>
  <dcterms:created xsi:type="dcterms:W3CDTF">2018-10-18T21:12:00Z</dcterms:created>
  <dcterms:modified xsi:type="dcterms:W3CDTF">2018-10-29T15:32:00Z</dcterms:modified>
</cp:coreProperties>
</file>